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FIAusbV — Gegenstand der Berufsausbildung und Ausbildungsrahmenplan</w:t>
      </w:r>
    </w:p>
    <w:p>
      <w:r>
        <w:rPr>
          <w:color w:val="555555"/>
          <w:sz w:val="18"/>
        </w:rPr>
        <w:t xml:space="preserve">Fachinformatikerausbildungsverordnung</w:t>
      </w:r>
    </w:p>
    <w:p>
      <w:r>
        <w:rPr>
          <w:color w:val="555555"/>
          <w:sz w:val="18"/>
        </w:rPr>
        <w:t xml:space="preserve">Stand: 01.08.2020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FIAusbV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