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FHVOPol (Nordrhein-Westfalen) — Gleichstellungsklausel</w:t>
      </w:r>
    </w:p>
    <w:p>
      <w:r>
        <w:rPr>
          <w:color w:val="555555"/>
          <w:sz w:val="18"/>
        </w:rPr>
        <w:t xml:space="preserve">Polizei-Heilfürsorgeverordnung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in dieser Verordnung personenbezogene Bezeichnungen im Maskulinum stehen, wird diese Form verallgemeinernd verwendet und bezieht sich auf beide Geschlechter.</w:t>
      </w:r>
    </w:p>
    <w:p>
      <w:r>
        <w:rPr>
          <w:color w:val="555555"/>
          <w:sz w:val="17"/>
        </w:rPr>
        <w:t xml:space="preserve">Zitiervorschlag: § 14 FHVOPol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https://recht.nulegal.eu/gesetze/FHVOPol/14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