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HSJustiz-LeistBVO (Nordrhein-Westfalen) — Zuständigkeit</w:t>
      </w:r>
    </w:p>
    <w:p>
      <w:r>
        <w:rPr>
          <w:color w:val="555555"/>
          <w:sz w:val="18"/>
        </w:rPr>
        <w:t xml:space="preserve">HSJustiz-Leistungsbezügeverordnung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09.09.2026 (konsolidierte Textfassung, kein amtliches Inkrafttretensdatum)</w:t>
      </w:r>
    </w:p>
    <w:p>
      <w:r>
        <w:t xml:space="preserve">Über die Gewährung und die Höhe der Leistungsbezüge entscheidet die Direktorin oder der Direktor der Hochschule der Justiz Nordrhein-Westfalen.</w:t>
      </w:r>
    </w:p>
    <w:p>
      <w:r>
        <w:rPr>
          <w:color w:val="555555"/>
          <w:sz w:val="17"/>
        </w:rPr>
        <w:t xml:space="preserve">Zitiervorschlag: § 8 HSJustiz-LeistBVO (Nordrhein-Westfalen)</w:t>
      </w:r>
    </w:p>
    <w:p>
      <w:r>
        <w:rPr>
          <w:color w:val="555555"/>
          <w:sz w:val="17"/>
        </w:rPr>
        <w:t xml:space="preserve">Quelle: nrwrecht, abgerufen 09.09.2026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https://recht.nulegal.eu/gesetze/HSJustiz-LeistBVO/8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