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HSJustiz-LeistBVO (Nordrhein-Westfalen) — Geltungsbereich</w:t>
      </w:r>
    </w:p>
    <w:p>
      <w:r>
        <w:rPr>
          <w:color w:val="555555"/>
          <w:sz w:val="18"/>
        </w:rPr>
        <w:t xml:space="preserve">HSJustiz-Leistungsbezügeverordnung</w:t>
      </w:r>
    </w:p>
    <w:p>
      <w:r>
        <w:rPr>
          <w:color w:val="555555"/>
          <w:sz w:val="18"/>
        </w:rPr>
        <w:t xml:space="preserve">Landesrecht Nordrhein-Westfalen</w:t>
      </w:r>
    </w:p>
    <w:p>
      <w:r>
        <w:rPr>
          <w:color w:val="555555"/>
          <w:sz w:val="18"/>
        </w:rPr>
        <w:t xml:space="preserve">Stand: 09.09.2026 (konsolidierte Textfassung, kein amtliches Inkrafttretensdatum)</w:t>
      </w:r>
    </w:p>
    <w:p>
      <w:r>
        <w:t xml:space="preserve">Diese Verordnung regelt die Grundsätze, das Verfahren und die Zuständigkeit der Gewährung von Leistungsbezügen nach Maßgabe der §§ 34 und 35 des Landesbesoldungsgesetzes vom 14. Juni 2016 (GV. NRW. S. 310) an die Professorinnen und Professoren der Besoldungsgruppen W 2 und W 3 an der Hochschule der Justiz Nordrhein-Westfalen.</w:t>
      </w:r>
    </w:p>
    <w:p>
      <w:r>
        <w:rPr>
          <w:color w:val="555555"/>
          <w:sz w:val="17"/>
        </w:rPr>
        <w:t xml:space="preserve">Zitiervorschlag: § 1 HSJustiz-LeistBVO (Nordrhein-Westfalen)</w:t>
      </w:r>
    </w:p>
    <w:p>
      <w:r>
        <w:rPr>
          <w:color w:val="555555"/>
          <w:sz w:val="17"/>
        </w:rPr>
        <w:t xml:space="preserve">Quelle: nrwrecht, abgerufen 09.09.2026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https://recht.nulegal.eu/gesetze/HSJustiz-LeistBVO/1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