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FHGöD (Nordrhein-Westfalen) — Mitglieder und Angehörige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Mitglieder der Fachhochschulen sind</w:t>
      </w:r>
    </w:p>
    <w:p>
      <w:r>
        <w:t xml:space="preserve">1. der Leiter der Fachhochschule und sein Stellvertreter, an der Hochschule für Polizei und öffentliche Verwaltung Nordrhein-Westfalen der Präsident der Fachhochschule, der Vizepräsident und der Kanzler,</w:t>
      </w:r>
    </w:p>
    <w:p>
      <w:r>
        <w:t xml:space="preserve">2. die Professoren und Dozenten sowie - an der Hochschule für Polizei und öffentliche Verwaltung Nordrhein-Westfalen - die Abteilungsleiter,</w:t>
      </w:r>
    </w:p>
    <w:p>
      <w:r>
        <w:t xml:space="preserve">3. die hauptberuflichen Lehrkräfte für besondere Aufgaben,</w:t>
      </w:r>
    </w:p>
    <w:p>
      <w:r>
        <w:t xml:space="preserve">4. die hauptberuflichen sonstigen Mitarbeiter,</w:t>
      </w:r>
    </w:p>
    <w:p>
      <w:r>
        <w:t xml:space="preserve">5. die Studierenden.</w:t>
      </w:r>
    </w:p>
    <w:p>
      <w:r>
        <w:t xml:space="preserve">(2) Angehörige der Fachhochschulen sind</w:t>
      </w:r>
    </w:p>
    <w:p>
      <w:r>
        <w:t xml:space="preserve">1. die in den Ruhestand versetzten Professoren,</w:t>
      </w:r>
    </w:p>
    <w:p>
      <w:r>
        <w:t xml:space="preserve">2. die Honorarprofessoren,</w:t>
      </w:r>
    </w:p>
    <w:p>
      <w:r>
        <w:t xml:space="preserve">3. die Lehrbeauftragten,</w:t>
      </w:r>
    </w:p>
    <w:p>
      <w:r>
        <w:t xml:space="preserve">4. die Gasthörer.</w:t>
      </w:r>
    </w:p>
    <w:p>
      <w:r>
        <w:t xml:space="preserve">Sie nehmen an Wahlen nicht teil.</w:t>
      </w:r>
    </w:p>
    <w:p>
      <w:r>
        <w:rPr>
          <w:color w:val="555555"/>
          <w:sz w:val="17"/>
        </w:rPr>
        <w:t xml:space="preserve">Zitiervorschlag: § 6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