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5a FHGöD (Nordrhein-Westfalen) — Anwendung allgemeiner Vorschriften des Hochschulgesetzes</w:t>
      </w:r>
    </w:p>
    <w:p>
      <w:r>
        <w:rPr>
          <w:color w:val="555555"/>
          <w:sz w:val="18"/>
        </w:rPr>
        <w:t xml:space="preserve">Fachhochschulgesetz öffentlicher Dienst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§ 6 HG 2004 gilt für die Fachhochschulen entsprechend.</w:t>
      </w:r>
    </w:p>
    <w:p>
      <w:r>
        <w:t xml:space="preserve">(2) An der Hochschule für Polizei und öffentliche Verwaltung Nordrhein-Westfalen finden außerdem § 5 Abs. 1 und § 9 HG 2004 entsprechende Anwendung; dabei tritt an die Stelle des Ministeriums für Wissenschaft und Forschung das Innenministerium. Die Schaffung eines Globalhaushalts für die Hochschule für Polizei und öffentliche Verwaltung Nordrhein-Westfalen setzt die Einführung einer Kosten- und Leistungsrechnung, eines Berichtswesens und eines Controllings voraus.</w:t>
      </w:r>
    </w:p>
    <w:p>
      <w:r>
        <w:rPr>
          <w:color w:val="555555"/>
          <w:sz w:val="17"/>
        </w:rPr>
        <w:t xml:space="preserve">Zitiervorschlag: § 5a FHGöD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https://recht.nulegal.eu/gesetze/FHG%C3%B6D/5a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