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FHGöD (Nordrhein-Westfalen) — Anwendung von Vorschriften des Hochschulgesetzes im Bereich der Zusammenarbeit mit anderen Hochschulen</w:t>
      </w:r>
    </w:p>
    <w:p>
      <w:r>
        <w:rPr>
          <w:color w:val="555555"/>
          <w:sz w:val="18"/>
        </w:rPr>
        <w:t xml:space="preserve">Fachhochschulgesetz öffentlicher Dienst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An der Hochschule für Finanzen Nordrhein-Westfalen und der Hochschule für Polizei und öffentliche Verwaltung Nordrhein-Westfalen gelten die §§ 109 und 110 HG 2004 entsprechend.</w:t>
      </w:r>
    </w:p>
    <w:p>
      <w:r>
        <w:t xml:space="preserve">(2) Die in Absatz 1 genannten Hochschulen dürfen von den Regelungen der §§ 67a und 67b HG Gebrauch machen.</w:t>
      </w:r>
    </w:p>
    <w:p>
      <w:r>
        <w:rPr>
          <w:color w:val="555555"/>
          <w:sz w:val="17"/>
        </w:rPr>
        <w:t xml:space="preserve">Zitiervorschlag: § 31 FHGöD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https://recht.nulegal.eu/gesetze/FHG%C3%B6D/31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