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FHGöD (Nordrhein-Westfalen) — Bachelor- und Masterstudiengänge an der Hochschule für Finanzen Nordrhein-Westfalen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Unbeschadet beamtenrechtlicher Bestimmungen wird die Hochschule für Finanzen Nordrhein-Westfalen ermächtigt, für die nach § 3 Absatz 4b eingerichteten Studiengänge Inhalt und Aufbau des Studiums sowie die Prüfungen durch Prüfungsordnungen zu regeln, dies gilt für Weiterbildungsangebote entsprechend. Im Übrigen gelten für Lehre und Studium § 2 Absatz 4, § 81, § 84 Absatz 1 bis 4 sowie die §§ 85, 87, 89, 90 und 95 HG 2004 entsprechend.</w:t>
      </w:r>
    </w:p>
    <w:p>
      <w:r>
        <w:t xml:space="preserve">(2) Die Prüfungsordnung muss insbesondere regeln:</w:t>
      </w:r>
    </w:p>
    <w:p>
      <w:r>
        <w:t xml:space="preserve">1. das Ziel des Studiums sowie den zu verleihenden Hochschulgrad und die Anzahl der Module,</w:t>
      </w:r>
    </w:p>
    <w:p>
      <w:r>
        <w:t xml:space="preserve">2. den Inhalt, das Qualifikationsziel, die Lehrform, die Teilnahmevoraussetzungen, die Arbeitsbelastung und die Dauer der Prüfungsleistungen der Module,</w:t>
      </w:r>
    </w:p>
    <w:p>
      <w:r>
        <w:t xml:space="preserve">3. die Voraussetzungen der in den Studiengang integrierten berufspraktischen Studienphasen,</w:t>
      </w:r>
    </w:p>
    <w:p>
      <w:r>
        <w:t xml:space="preserve">4. die Modalitäten der Erbringung von Studien- und Prüfungsleistungen,</w:t>
      </w:r>
    </w:p>
    <w:p>
      <w:r>
        <w:t xml:space="preserve">5. die Anzahl und die Voraussetzungen für die Wiederholung von Studien- und Prüfungsleistungen,</w:t>
      </w:r>
    </w:p>
    <w:p>
      <w:r>
        <w:t xml:space="preserve">6. der Zeitpunkt, bis zu dem eine Prüfungs- und Studienleistung zu erbringen ist,</w:t>
      </w:r>
    </w:p>
    <w:p>
      <w:r>
        <w:t xml:space="preserve">7. die nachteilsausgleichenden Regelungen für Studierende, die auf Grund einer Behinderung oder chronischen Erkrankung oder auf Grund der mutterschutzrechtlichen Bestimmungen an der Ableistung einer Prüfungs- und Studienleistung entsprechend der in der Prüfungsordnung vorgesehenen Weise gehindert sind,</w:t>
      </w:r>
    </w:p>
    <w:p>
      <w:r>
        <w:t xml:space="preserve">8. die Grundsätze der Bewertung einzelner Studien- und Prüfungsleistungen,</w:t>
      </w:r>
    </w:p>
    <w:p>
      <w:r>
        <w:t xml:space="preserve">9. die Prüfungsorgane und das Prüfungsverfahren,</w:t>
      </w:r>
    </w:p>
    <w:p>
      <w:r>
        <w:t xml:space="preserve">10. die Folgen der Nichterbringung beziehungsweise der verspäteten Erbringung von Prüfungs- und Studienleistungen und des Rücktritts von einer Prüfung bis hin zum Ausschluss vom Studium,</w:t>
      </w:r>
    </w:p>
    <w:p>
      <w:r>
        <w:t xml:space="preserve">11. das innerhalb der Hochschule einheitlich geregelte Nähere zur Art und Weise der Erbringung des Nachweises der krankheitsbedingten Prüfungsunfähigkeit,</w:t>
      </w:r>
    </w:p>
    <w:p>
      <w:r>
        <w:t xml:space="preserve">12. die Folgen von Verstößen gegen Prüfungsvorschriften,</w:t>
      </w:r>
    </w:p>
    <w:p>
      <w:r>
        <w:t xml:space="preserve">13. die Einsicht in die Prüfungsakten nach den einzelnen Prüfungen und die Fertigung einer Kopie oder einer sonstigen originalgetreuen Reproduktion und</w:t>
      </w:r>
    </w:p>
    <w:p>
      <w:r>
        <w:t xml:space="preserve">14. die Studien- und Regelstudienzeiten.</w:t>
      </w:r>
    </w:p>
    <w:p>
      <w:r>
        <w:t xml:space="preserve">(3) In der Prüfungsordnung kann geregelt werden, dass Hochschulprüfungen in elektronischer Form oder mittels elektronischer Kommunikation abgelegt werden können.</w:t>
      </w:r>
    </w:p>
    <w:p>
      <w:r>
        <w:rPr>
          <w:color w:val="555555"/>
          <w:sz w:val="17"/>
        </w:rPr>
        <w:t xml:space="preserve">Zitiervorschlag: § 26a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