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FHGöD (Nordrhein-Westfalen) — Mitglieder des Senats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Senat gehören an</w:t>
      </w:r>
    </w:p>
    <w:p>
      <w:r>
        <w:t xml:space="preserve">1. der Leiter der Fachhochschule als Vorsitzender oder im Falle seiner Verhinderung sein Stellvertreter, an der Hochschule für Polizei und öffentliche Verwaltung Nordrhein-Westfalen der Präsident oder im Falle seiner Verhinderung der Vizepräsident,</w:t>
      </w:r>
    </w:p>
    <w:p>
      <w:r>
        <w:t xml:space="preserve">2. insgesamt zehn, bei der Hochschule für Polizei und öffentliche Verwaltung Nordrhein-Westfalen 15 Vertreter der Gruppe der Professoren und Dozenten,</w:t>
      </w:r>
    </w:p>
    <w:p>
      <w:r>
        <w:t xml:space="preserve">3. zwei Vertreter der Gruppe der Mitarbeiter (§ 6 Absatz 1 Nummer 3 und 4),</w:t>
      </w:r>
    </w:p>
    <w:p>
      <w:r>
        <w:t xml:space="preserve">4. sechs, bei der Hochschule für Polizei und öffentliche Verwaltung acht Vertreter der Studierenden,</w:t>
      </w:r>
    </w:p>
    <w:p>
      <w:r>
        <w:t xml:space="preserve">5. mit beratender Stimme je ein von den Spitzenorganisationen der zuständigen Gewerkschaften und Berufsverbände (§ 94 Absatz 3 Satz 1 LBG) zu bestimmendes Mitglied sowie die Gleichstellungsbeauftragte,</w:t>
      </w:r>
    </w:p>
    <w:p>
      <w:r>
        <w:t xml:space="preserve">6. mit beratender Stimme ein von dem für den Geschäftsbereich zuständigen Ministerium zu bestimmendes Mitglied.</w:t>
      </w:r>
    </w:p>
    <w:p>
      <w:r>
        <w:t xml:space="preserve">(2) Die Abteilungsleiter und der Kanzler an der Hochschule für Polizei und öffentliche Verwaltung Nordrhein-Westfalen, der Stellvertreter des Leiters oder der Vizepräsident und die Fachbereichssprecher gehören dem Senat mit beratender Stimme an, soweit sie nicht stimmberechtigte Mitglieder gemäß Absatz 1 sind.</w:t>
      </w:r>
    </w:p>
    <w:p>
      <w:r>
        <w:t xml:space="preserve">(3) Dem Senat der Hochschule für Polizei und öffentliche Verwaltung gehören als Mitglieder ferner an:</w:t>
      </w:r>
    </w:p>
    <w:p>
      <w:r>
        <w:t xml:space="preserve">1. zwei von den kommunalen Spitzenverbänden zu bestimmende Mitglieder,</w:t>
      </w:r>
    </w:p>
    <w:p>
      <w:r>
        <w:t xml:space="preserve">2. ein von den Rentenversicherungsträgern, deren Nachwuchskräfte des gehobenen Dienstes an der Fachhochschule ausgebildet werden, gemeinsam zu bestimmendes Mitglied.</w:t>
      </w:r>
    </w:p>
    <w:p>
      <w:r>
        <w:t xml:space="preserve">(4) Die gewählten Mitglieder des Senats sind an Weisungen nicht gebunden; sie dürfen wegen ihrer Tätigkeit im Senat oder in einer Kommission nicht benachteiligt werden.</w:t>
      </w:r>
    </w:p>
    <w:p>
      <w:r>
        <w:t xml:space="preserve">(5) Die Anzahl der Mitglieder des Senats nach Absatz 1 Nummer 2 bis 4 und Absatz 3 kann unter Wahrung des Sitzverhältnisses der Gruppen erhöht werden. Die Entscheidung hierüber wird in der Grundordnung getroffen.</w:t>
      </w:r>
    </w:p>
    <w:p>
      <w:r>
        <w:rPr>
          <w:color w:val="555555"/>
          <w:sz w:val="17"/>
        </w:rPr>
        <w:t xml:space="preserve">Zitiervorschlag: § 11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