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FHGöD (Nordrhein-Westfalen) — Geltungsbereich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gilt für</w:t>
      </w:r>
    </w:p>
    <w:p>
      <w:r>
        <w:t xml:space="preserve">1. die Hochschule für Finanzen Nordrhein-Westfalen in Nordkirchen,</w:t>
      </w:r>
    </w:p>
    <w:p>
      <w:r>
        <w:t xml:space="preserve">2. die Hochschule der Justiz Nordrhein-Westfalen in Bad Münstereifel, sowie</w:t>
      </w:r>
    </w:p>
    <w:p>
      <w:r>
        <w:t xml:space="preserve">3. die Hochschule für Polizei und öffentliche Verwaltung Nordrhein-Westfalen.</w:t>
      </w:r>
    </w:p>
    <w:p>
      <w:r>
        <w:t xml:space="preserve">Sie sind Fachhochschulen im Sinne dieses Gesetzes.</w:t>
      </w:r>
    </w:p>
    <w:p>
      <w:r>
        <w:rPr>
          <w:color w:val="555555"/>
          <w:sz w:val="17"/>
        </w:rPr>
        <w:t xml:space="preserve">Zitiervorschlag: § 1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