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FHBLeistBV</w:t>
      </w:r>
    </w:p>
    <w:p>
      <w:r>
        <w:rPr>
          <w:color w:val="555555"/>
          <w:sz w:val="18"/>
        </w:rPr>
        <w:t xml:space="preserve">Leistungsbezügeverordnung FH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33 Abs. 4 und des § 35 Abs. 2 des Bundesbesoldungsgesetzes in der Fassung der Bekanntmachung vom 6. August 2002 (BGBl. I S. 3020) verordnet das Bundesministerium des Innern im Einvernehmen mit den für die jeweiligen Fachbereiche der Fachhochschule des Bundes für öffentliche Verwaltung zuständigen obersten Dienstbehörden:</w:t>
      </w:r>
    </w:p>
    <w:p>
      <w:r>
        <w:rPr>
          <w:color w:val="555555"/>
          <w:sz w:val="17"/>
        </w:rPr>
        <w:t xml:space="preserve">Zitiervorschlag: Eingangsformel FHBLeistBV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https://recht.nulegal.eu/gesetze/FHBLeistBV/eingangsformel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