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FHBLeistBV — Funktions-Leistungsbezüge</w:t>
      </w:r>
    </w:p>
    <w:p>
      <w:r>
        <w:rPr>
          <w:color w:val="555555"/>
          <w:sz w:val="18"/>
        </w:rPr>
        <w:t xml:space="preserve">Leistungsbezügeverordnung FH Bund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Zeit der Wahrnehmung von Funktionen oder besonderen Aufgaben im Rahmen der Hochschulselbstverwaltung oder der Hochschulleitung können Funktions-Leistungsbezüge vergeben werden. Bei der Bemessung der Funktions-Leistungsbezüge sind unter Beachtung des Grundsatzes der funktionsgerechten Besoldung (§ 18 des Bundesbesoldungsgesetzes) die mit der Funktion oder Aufgabe verbundene individuelle Verantwortung oder Belastung zu berücksichtigen.</w:t>
      </w:r>
    </w:p>
    <w:p>
      <w:r>
        <w:t xml:space="preserve">(2) Berücksichtigungsfähig können auch Aufgaben und Funktionen sein, die in einer Nebenfunktion zum Hauptamt wahrgenommen werden.</w:t>
      </w:r>
    </w:p>
    <w:p>
      <w:r>
        <w:rPr>
          <w:color w:val="555555"/>
          <w:sz w:val="17"/>
        </w:rPr>
        <w:t xml:space="preserve">Zitiervorschlag: § 4 FHBLeistBV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https://recht.nulegal.eu/gesetze/FHBLeistBV/4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