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FH (Brandenburg) — Inkrafttreten</w:t>
      </w:r>
    </w:p>
    <w:p>
      <w:r>
        <w:rPr>
          <w:color w:val="555555"/>
          <w:sz w:val="18"/>
        </w:rPr>
        <w:t xml:space="preserve">Verordnung über die Übertragung des Rechts zur Berufung der Hochschullehrerinnen und Hochschullehrer an der Technischen Hochschule Wildau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9. Februar 2010</w:t>
      </w:r>
    </w:p>
    <w:p>
      <w:r>
        <w:t xml:space="preserve">Die Ministerin für Wissenschaft,</w:t>
      </w:r>
    </w:p>
    <w:p>
      <w:r>
        <w:t xml:space="preserve">Forschung und Kultur</w:t>
      </w:r>
    </w:p>
    <w:p>
      <w:r>
        <w:t xml:space="preserve">Dr. Martina Münch</w:t>
      </w:r>
    </w:p>
    <w:p>
      <w:r>
        <w:rPr>
          <w:color w:val="555555"/>
          <w:sz w:val="17"/>
        </w:rPr>
        <w:t xml:space="preserve">Zitiervorschlag: § 3 FH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