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FH (Brandenburg) — Übergangsvorschrift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Technischen Hochschule Wildau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laufenden Berufungsverfahren wird das Berufungsrecht übertragen, soweit vor Inkrafttreten dieser Verordnung bei dem für die Hochschulen zuständigen Mitglied der Landesregierung kein Berufungsvorschlag eingereicht worden ist.</w:t>
      </w:r>
    </w:p>
    <w:p>
      <w:r>
        <w:t xml:space="preserve">(2) Soweit ein Berufungsvorschlag vor Inkrafttreten dieser Verordnung bei dem für die Hochschulen zuständigen Mitglied der Landesregierung eingereicht worden ist, kann das für die Hochschulen zuständige Mitglied der</w:t>
      </w:r>
    </w:p>
    <w:p>
      <w:r>
        <w:t xml:space="preserve">Landesregierung das Berufungsrecht im Einzelfall übertragen.</w:t>
      </w:r>
    </w:p>
    <w:p>
      <w:r>
        <w:rPr>
          <w:color w:val="555555"/>
          <w:sz w:val="17"/>
        </w:rPr>
        <w:t xml:space="preserve">Zitiervorschlag: § 2 FH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