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FGebV</w:t>
      </w:r>
    </w:p>
    <w:p>
      <w:r>
        <w:rPr>
          <w:color w:val="555555"/>
          <w:sz w:val="18"/>
        </w:rPr>
        <w:t xml:space="preserve">Frequenzgebührenverordnung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Auf Grund des § 48 Abs. 1 Satz 2 des Telekommunikationsgesetzes vom 25. Juli 1996 (BGBl. I S. 1120) in Verbindung mit dem 2. Abschnitt des Verwaltungskostengesetzes vom 23. Juni 1970 (BGBl. I S. 821) verordnet das Bundesministerium für Post und Telekommunikation im Einvernehmen mit dem Bundesministerium des Innern, dem Bundesministerium der Finanzen, dem Bundesministerium der Justiz und dem Bundesministerium für Wirtschaft:</w:t>
      </w:r>
    </w:p>
    <w:p>
      <w:r>
        <w:rPr>
          <w:color w:val="555555"/>
          <w:sz w:val="17"/>
        </w:rPr>
        <w:t xml:space="preserve">Zitiervorschlag: Eingangsformel FGebV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https://recht.nulegal.eu/gesetze/FGebV/eingangsformel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