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FGebV — Erheben von Gebühren</w:t>
      </w:r>
    </w:p>
    <w:p>
      <w:r>
        <w:rPr>
          <w:color w:val="555555"/>
          <w:sz w:val="18"/>
        </w:rPr>
        <w:t xml:space="preserve">Frequenzgebührenverordnung</w:t>
      </w:r>
    </w:p>
    <w:p>
      <w:r>
        <w:rPr>
          <w:color w:val="555555"/>
          <w:sz w:val="18"/>
        </w:rPr>
        <w:t xml:space="preserve">Historische Fassung: Stand 10.06.2019 bis 01.10.2021. Dies ist nicht die aktuelle Fassung.</w:t>
      </w:r>
    </w:p>
    <w:p>
      <w:r>
        <w:t xml:space="preserve">(1) Die gebührenpflichtigen Tatbestände und die Höhe der Gebühren bestimmen sich nach der Anlage. Auslagen sind in die Gebühren einbezogen.</w:t>
      </w:r>
    </w:p>
    <w:p>
      <w:r>
        <w:t xml:space="preserve">(2) (weggefallen)</w:t>
      </w:r>
    </w:p>
    <w:p>
      <w:r>
        <w:t xml:space="preserve">(3) Bei Frequenzzuteilungen, bei denen digitale Übertragungstechnik für das digitale terrestrische Fernsehen (DVB-T) und den digitalen terrestrischen Hörfunk (DAB) zur Anwendung kommt, mindert sich bei Frequenzzuteilungen bis zum 31. Dezember 2005 die jeweilige Gebühr um 50 Prozent, danach um 25 Prozent, sofern auf eine Frequenzzuteilung desselben Funkdienstes für analoge Übertragungstechnik verzichtet wird. Es wird jedoch mindestens die jeweilige Mindestgebühr fällig.</w:t>
      </w:r>
    </w:p>
    <w:p>
      <w:r>
        <w:t xml:space="preserve">(4) Für Frequenzzuteilungen auf Grund von Anträgen, die vor dem 1. Januar 2003 bei der Bundesnetzagentur für Elektrizität, Gas, Telekommunikation, Post und Eisenbahnen vollständig vorlagen, werden Gebühren nach den in der Anlage zu § 1 Abs. 1 der Frequenzgebührenverordnung vom 21. Mai 1997 (BGBl. I S. 1226), geändert durch die Dritte Verordnung zur Änderung der Frequenzgebührenverordnung vom 13. Dezember 2001 (BGBl. I S. 3624), festgelegten Gebührentatbeständen und Gebührenhöhen erhoben.</w:t>
      </w:r>
    </w:p>
    <w:p>
      <w:r>
        <w:rPr>
          <w:color w:val="555555"/>
          <w:sz w:val="17"/>
        </w:rPr>
        <w:t xml:space="preserve">Zitiervorschlag: § 1 FGebV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