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FGO</w:t>
      </w:r>
    </w:p>
    <w:p>
      <w:r>
        <w:rPr>
          <w:color w:val="555555"/>
          <w:sz w:val="18"/>
        </w:rPr>
        <w:t xml:space="preserve">Finanzgerichtsordnung</w:t>
      </w:r>
    </w:p>
    <w:p>
      <w:r>
        <w:rPr>
          <w:color w:val="555555"/>
          <w:sz w:val="18"/>
        </w:rPr>
        <w:t xml:space="preserve">Stand: 20.07.2024 (konsolidierte Textfassung, kein amtliches Inkrafttretensdatum)</w:t>
      </w:r>
    </w:p>
    <w:p>
      <w:r>
        <w:t xml:space="preserve">(1) Die Klage muss den Kläger, den Beklagten, den Gegenstand des Klagebegehrens, bei Anfechtungsklagen auch den Verwaltungsakt und die Entscheidung über den außergerichtlichen Rechtsbehelf bezeichnen. Sie soll einen bestimmten Antrag enthalten. Die zur Begründung dienenden Tatsachen und Beweismittel sollen angegeben werden. Der Klage soll eine Abschrift des angefochtenen Verwaltungsakts und der Einspruchsentscheidung beigefügt werden. § 253 Absatz 3 Nummer 4 der Zivilprozessordnung gilt entsprechend.</w:t>
      </w:r>
    </w:p>
    <w:p>
      <w:r>
        <w:t xml:space="preserve">(2) Entspricht die Klage diesen Anforderungen nicht, hat der Vorsitzende oder der nach § 21g des Gerichtsverfassungsgesetzes zuständige Berufsrichter (Berichterstatter) den Kläger zu der erforderlichen Ergänzung innerhalb einer bestimmten Frist aufzufordern. Er kann dem Kläger für die Ergänzung eine Frist mit ausschließender Wirkung setzen, wenn es an einem der in Absatz 1 Satz 1 genannten Erfordernisse fehlt. Für die Wiedereinsetzung in den vorigen Stand wegen Versäumung der Frist gilt § 56 entsprechend.</w:t>
      </w:r>
    </w:p>
    <w:p>
      <w:r>
        <w:rPr>
          <w:color w:val="555555"/>
          <w:sz w:val="17"/>
        </w:rPr>
        <w:t xml:space="preserve">Zitiervorschlag: § 65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