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Die Klage ist bei dem Gericht schriftlich oder zu Protokoll des Urkundsbeamten der Geschäftsstelle zu erheben. § 129a Absatz 2 der Zivilprozessordnung gilt entsprechend.</w:t>
      </w:r>
    </w:p>
    <w:p>
      <w:r>
        <w:t xml:space="preserve">(2) Der Klage sollen Abschriften für die übrigen Beteiligten beigefügt werden; § 77 Abs. 2 gilt sinngemäß.</w:t>
      </w:r>
    </w:p>
    <w:p>
      <w:r>
        <w:rPr>
          <w:color w:val="555555"/>
          <w:sz w:val="17"/>
        </w:rPr>
        <w:t xml:space="preserve">Zitiervorschlag: § 64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