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Das Finanzgericht kann von Amts wegen oder auf Antrag andere beiladen, deren rechtliche Interessen nach den Steuergesetzen durch die Entscheidung berührt werden, insbesondere solche, die nach den Steuergesetzen neben dem Steuerpflichtigen haften. Vor der Beiladung ist der Steuerpflichtige zu hören, wenn er am Verfahren beteiligt ist.</w:t>
      </w:r>
    </w:p>
    <w:p>
      <w:r>
        <w:t xml:space="preserve">(2) Wird eine Abgabe für einen anderen Abgabenberechtigten verwaltet, so kann dieser nicht deshalb beigeladen werden, weil seine Interessen als Abgabenberechtigter durch die Entscheidung berührt werden.</w:t>
      </w:r>
    </w:p>
    <w:p>
      <w:r>
        <w:t xml:space="preserve">(3) Sind an dem streitigen Rechtsverhältnis Dritte derart beteiligt, dass die Entscheidung auch ihnen gegenüber nur einheitlich ergehen kann, so sind sie beizuladen (notwendige Beiladung). Dies gilt nicht für Mitberechtigte, die nach § 48 nicht klagebefugt sind.</w:t>
      </w:r>
    </w:p>
    <w:p>
      <w:r>
        <w:t xml:space="preserve">(4) Der Beiladungsbeschluss ist allen Beteiligten zuzustellen. Dabei sollen der Stand der Sache und der Grund der Beiladung angegeben werden.</w:t>
      </w:r>
    </w:p>
    <w:p>
      <w:r>
        <w:t xml:space="preserve">(5) Die als Mitberechtigte Beigeladenen können aufgefordert werden, einen gemeinsamen Zustellungsbevollmächtigten zu benennen.</w:t>
      </w:r>
    </w:p>
    <w:p>
      <w:r>
        <w:t xml:space="preserve">(6) Der Beigeladene kann innerhalb der Anträge eines als Kläger oder Beklagter Beteiligten selbständig Angriffs- und Verteidigungsmittel geltend machen und alle Verfahrenshandlungen wirksam vornehmen. Abweichende Sachanträge kann er nur stellen, wenn eine notwendige Beiladung vorliegt.</w:t>
      </w:r>
    </w:p>
    <w:p>
      <w:r>
        <w:rPr>
          <w:color w:val="555555"/>
          <w:sz w:val="17"/>
        </w:rPr>
        <w:t xml:space="preserve">Zitiervorschlag: § 60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