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Beteiligte am Verfahren sind</w:t>
      </w:r>
    </w:p>
    <w:p>
      <w:pPr>
        <w:ind w:left="420"/>
      </w:pPr>
      <w:r>
        <w:t xml:space="preserve">1. der Kläger,</w:t>
      </w:r>
    </w:p>
    <w:p>
      <w:pPr>
        <w:ind w:left="420"/>
      </w:pPr>
      <w:r>
        <w:t xml:space="preserve">2. der Beklagte,</w:t>
      </w:r>
    </w:p>
    <w:p>
      <w:pPr>
        <w:ind w:left="420"/>
      </w:pPr>
      <w:r>
        <w:t xml:space="preserve">3. der Beigeladene,</w:t>
      </w:r>
    </w:p>
    <w:p>
      <w:pPr>
        <w:ind w:left="420"/>
      </w:pPr>
      <w:r>
        <w:t xml:space="preserve">4. die Behörde, die dem Verfahren beigetreten ist (§ 122 Abs. 2).</w:t>
      </w:r>
    </w:p>
    <w:p>
      <w:r>
        <w:rPr>
          <w:color w:val="555555"/>
          <w:sz w:val="17"/>
        </w:rPr>
        <w:t xml:space="preserve">Zitiervorschlag: § 57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