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52c FGO — Formulare; Verordnungsermächtigung</w:t>
      </w:r>
    </w:p>
    <w:p>
      <w:r>
        <w:rPr>
          <w:color w:val="555555"/>
          <w:sz w:val="18"/>
        </w:rPr>
        <w:t xml:space="preserve">Finanzgerichtsordnung</w:t>
      </w:r>
    </w:p>
    <w:p>
      <w:r>
        <w:rPr>
          <w:color w:val="555555"/>
          <w:sz w:val="18"/>
        </w:rPr>
        <w:t xml:space="preserve">Stand: 31.10.2019 (konsolidierte Textfassung, kein amtliches Inkrafttretensdatum)</w:t>
      </w:r>
    </w:p>
    <w:p>
      <w:r>
        <w:t xml:space="preserve">Das Bundesministerium der Justiz und für Verbraucherschutz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52a Absatz 3 auch durch Nutzung des elektronischen Identitätsnachweises nach § 18 des Personalausweisgesetzes, § 12 des eID-Karte-Gesetzes oder § 78 Absatz 5 des Aufenthaltsgesetzes erfolgen kann.</w:t>
      </w:r>
    </w:p>
    <w:p>
      <w:r>
        <w:rPr>
          <w:color w:val="555555"/>
          <w:sz w:val="17"/>
        </w:rPr>
        <w:t xml:space="preserve">Zitiervorschlag: § 52c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