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52a FGO</w:t>
      </w:r>
    </w:p>
    <w:p>
      <w:r>
        <w:rPr>
          <w:color w:val="555555"/>
          <w:sz w:val="18"/>
        </w:rPr>
        <w:t xml:space="preserve">Finanzgerichtsordnung</w:t>
      </w:r>
    </w:p>
    <w:p>
      <w:r>
        <w:rPr>
          <w:color w:val="555555"/>
          <w:sz w:val="18"/>
        </w:rPr>
        <w:t xml:space="preserve">Stand: 13.01.2026 (konsolidierte Textfassung, kein amtliches Inkrafttretensdatum)</w:t>
      </w:r>
    </w:p>
    <w:p>
      <w:r>
        <w:t xml:space="preserve">(1) Vorbereitende Schriftsätze und deren Anlagen, schriftlich einzureichende Anträge und Erklärungen der Beteiligten sowie schriftlich einzureichende Auskünfte, Aussagen, Gutachten, Übersetzungen, Anträge und Erklärungen Dritter können nach Maßgabe der Absätze 2 bis 6 als elektronische Dokumente bei Gericht eingereicht werden.</w:t>
      </w:r>
    </w:p>
    <w:p>
      <w:r>
        <w:t xml:space="preserve">(2) Das elektronische Dokument muss für die Bearbeitung durch das Gericht geeignet sein. Die Bundesregierung bestimmt durch Rechtsverordnung mit Zustimmung des Bundesrates technische Rahmenbedingungen für die Übermittlung und die Eignung zur Bearbeitung durch das Gericht sowie das Nähere zur Verarbeitung von Daten der Postfachinhaber nach Absatz 4 Satz 1 Nummer 3 und 4 in einem sicheren elektronischen Verzeichnis.</w:t>
      </w:r>
    </w:p>
    <w:p>
      <w:r>
        <w:t xml:space="preserve">(3) Das elektronische Dokument muss mit einer qualifizierten elektronischen Signatur der verantwortenden Person versehen sein oder von der verantwortenden Person signiert und auf einem sicheren Übermittlungsweg eingereicht werden. Satz 1 gilt nicht für Anlagen, die vorbereitenden Schriftsätzen beigefügt sind. Soll ein schriftlich einzureichender Antrag oder eine schriftlich einzureichende Erklärung eines Beteiligten oder eines Dritten als elektronisches Dokument eingereicht werden, so kann der unterschriebene Antrag oder die unterschriebene Erklärung in ein elektronisches Dokument übertragen und durch den Bevollmächtigten, den Vertreter oder den Beistand nach Satz 1 übermittelt werden.</w:t>
      </w:r>
    </w:p>
    <w:p>
      <w:r>
        <w:t xml:space="preserve">(4)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des Gerichts,</w:t>
      </w:r>
    </w:p>
    <w:p>
      <w:pPr>
        <w:ind w:left="420"/>
      </w:pPr>
      <w:r>
        <w:t xml:space="preserve">2. der Übermittlungsweg zwischen einem nach Durchführung eines Identifizierungsverfahrens eingerichteten Postfach einer Behörde oder einer juristischen Person des öffentlichen Rechts und der elektronischen Poststelle des Gerichts,</w:t>
      </w:r>
    </w:p>
    <w:p>
      <w:pPr>
        <w:ind w:left="420"/>
      </w:pPr>
      <w:r>
        <w:t xml:space="preserve">3. der Übermittlungsweg zwischen einem nach Durchführung eines Identifizierungsverfahrens eingerichteten elektronischen Postfach einer natürlichen oder juristischen Person oder einer sonstigen Vereinigung und der elektronischen Poststelle des Gerichts,</w:t>
      </w:r>
    </w:p>
    <w:p>
      <w:pPr>
        <w:ind w:left="420"/>
      </w:pPr>
      <w:r>
        <w:t xml:space="preserve">4. der Übermittlungsweg zwischen einem nach Durchführung eines Identifizierungsverfahrens genutzten Postfach- und Versanddienst eines Nutzerkontos im Sinne des § 2 Absatz 5 des Onlinezugangsgesetzes und der elektronischen Poststelle des Gerichts,</w:t>
      </w:r>
    </w:p>
    <w:p>
      <w:pPr>
        <w:ind w:left="420"/>
      </w:pPr>
      <w:r>
        <w:t xml:space="preserve">5. sonstige bundeseinheitliche Übermittlungswege, die durch Rechtsverordnung der Bundesregierung mit Zustimmung des Bundesrates festgelegt werden, bei denen die Authentizität und Integrität der Daten sowie die Barrierefreiheit gewährleistet sind.</w:t>
      </w:r>
    </w:p>
    <w:p>
      <w:r>
        <w:t xml:space="preserve">Das Nähere zu den Übermittlungswegen gemäß Satz 1 Nummer 2 bis 4 regelt die Rechtsverordnung nach Absatz 2 Satz 2.</w:t>
      </w:r>
    </w:p>
    <w:p>
      <w:r>
        <w:t xml:space="preserve">(5) Ein elektronisches Dokument ist eingegangen, sobald es auf der für den Empfang bestimmten Einrichtung des Gerichts gespeichert ist. Dem Absender ist eine automatisierte Bestätigung über den Zeitpunkt des Eingangs zu erteilen. Die Vorschriften dieses Gesetzes über die Beifügung von Abschriften für die übrigen Beteiligten finden keine Anwendung.</w:t>
      </w:r>
    </w:p>
    <w:p>
      <w:r>
        <w:t xml:space="preserve">(6) Ist ein elektronisches Dokument für das Gericht zur Bearbeitung nicht geeignet, ist dies dem Absender unter Hinweis auf die Unwirksamkeit des Eingangs unverzüglich mitzuteilen. Das Dokument gilt als zum Zeitpunkt der früheren Einreichung eingegangen, sofern der Absender es unverzüglich in einer für das Gericht zur Bearbeitung geeigneten Form nachreicht und glaubhaft macht, dass es mit dem zuerst eingereichten Dokument inhaltlich übereinstimmt.</w:t>
      </w:r>
    </w:p>
    <w:p>
      <w:r>
        <w:t xml:space="preserve">(7) Soweit eine handschriftliche Unterzeichnung durch den Richter oder den Urkundsbeamten der Geschäftsstelle vorgeschrieben ist, genügt dieser Form die Aufzeichnung als elektronisches Dokument, wenn die verantwortenden Personen am Ende des Dokuments ihren Namen hinzufügen und das Dokument mit einer qualifizierten elektronischen Signatur versehen. Der in Satz 1 genannten Form genügt auch ein elektronisches Dokument, in welches das handschriftlich unterzeichnete Schriftstück gemäß § 52b Absatz 6 Satz 4 übertragen worden ist.</w:t>
      </w:r>
    </w:p>
    <w:p>
      <w:r>
        <w:rPr>
          <w:color w:val="555555"/>
          <w:sz w:val="17"/>
        </w:rPr>
        <w:t xml:space="preserve">Zitiervorschlag: § 52a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https://recht.nulegal.eu/gesetze/FGO/52a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