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§§ 169, 171b bis 197 des Gerichtsverfassungsgesetzes über die Öffentlichkeit, Sitzungspolizei, Gerichtssprache, Beratung und Abstimmung gelten sinngemäß.</w:t>
      </w:r>
    </w:p>
    <w:p>
      <w:r>
        <w:t xml:space="preserve">(2) Die Öffentlichkeit ist auch auszuschließen, wenn ein Beteiligter, der nicht Finanzbehörde ist, es beantragt.</w:t>
      </w:r>
    </w:p>
    <w:p>
      <w:r>
        <w:t xml:space="preserve">(3) Bei der Abstimmung und Beratung dürfen auch die zu ihrer steuerrechtlichen Ausbildung beschäftigten Personen zugegen sein, soweit sie die Befähigung zum Richteramt besitzen und soweit der Vorsitzende ihre Anwesenheit gestattet.</w:t>
      </w:r>
    </w:p>
    <w:p>
      <w:r>
        <w:rPr>
          <w:color w:val="555555"/>
          <w:sz w:val="17"/>
        </w:rPr>
        <w:t xml:space="preserve">Zitiervorschlag: § 52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