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Ist über einen außergerichtlichen Rechtsbehelf ohne Mitteilung eines zureichenden Grundes in angemessener Frist sachlich nicht entschieden worden, so ist die Klage abweichend von § 44 ohne vorherigen Abschluss des Vorverfahrens zulässig. Die Klage kann nicht vor Ablauf von sechs Monaten seit Einlegung des außergerichtlichen Rechtsbehelfs erhoben werden, es sei denn, dass wegen besonderer Umstände des Falles eine kürzere Frist geboten ist. Das Gericht kann das Verfahren bis zum Ablauf einer von ihm bestimmten Frist, die verlängert werden kann, aussetzen; wird dem außergerichtlichen Rechtsbehelf innerhalb dieser Frist stattgegeben oder der beantragte Verwaltungsakt innerhalb dieser Frist erlassen, so ist der Rechtsstreit in der Hauptsache als erledigt anzusehen.</w:t>
      </w:r>
    </w:p>
    <w:p>
      <w:r>
        <w:t xml:space="preserve">(2) Absatz 1 Satz 2 und 3 gilt für die Fälle sinngemäß, in denen geltend gemacht wird, dass eine der in § 348 Nr. 3 und 4 der Abgabenordnung genannten Stellen über einen Antrag auf Vornahme eines Verwaltungsakts ohne Mitteilung eines zureichenden Grundes in angemessener Frist sachlich nicht entschieden hat.</w:t>
      </w:r>
    </w:p>
    <w:p>
      <w:r>
        <w:rPr>
          <w:color w:val="555555"/>
          <w:sz w:val="17"/>
        </w:rPr>
        <w:t xml:space="preserve">Zitiervorschlag: § 46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