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Klage kann die Feststellung des Bestehens oder Nichtbestehens eines Rechtsverhältnisses oder der Nichtigkeit eines Verwaltungsakts begehrt werden, wenn der Kläger ein berechtigtes Interesse an der baldigen Feststellung hat (Feststellungsklage).</w:t>
      </w:r>
    </w:p>
    <w:p>
      <w:r>
        <w:t xml:space="preserve">(2) Die Feststellung kann nicht begehrt werden, soweit der Kläger seine Rechte durch Gestaltungs- oder Leistungsklage verfolgen kann oder hätte verfolgen können. Dies gilt nicht, wenn die Feststellung der Nichtigkeit eines Verwaltungsakts begehrt wird.</w:t>
      </w:r>
    </w:p>
    <w:p>
      <w:r>
        <w:rPr>
          <w:color w:val="555555"/>
          <w:sz w:val="17"/>
        </w:rPr>
        <w:t xml:space="preserve">Zitiervorschlag: § 41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