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Finanzgericht wird durch den Bundesfinanzhof bestimmt,</w:t>
      </w:r>
    </w:p>
    <w:p>
      <w:pPr>
        <w:ind w:left="420"/>
      </w:pPr>
      <w:r>
        <w:t xml:space="preserve">1. wenn das an sich zuständige Finanzgericht in einem einzelnen Fall an der Ausübung der Gerichtsbarkeit rechtlich oder tatsächlich verhindert ist,</w:t>
      </w:r>
    </w:p>
    <w:p>
      <w:pPr>
        <w:ind w:left="420"/>
      </w:pPr>
      <w:r>
        <w:t xml:space="preserve">2. wenn es wegen der Grenzen verschiedener Gerichtsbezirke ungewiss ist, welches Finanzgericht für den Rechtsstreit zuständig ist,</w:t>
      </w:r>
    </w:p>
    <w:p>
      <w:pPr>
        <w:ind w:left="420"/>
      </w:pPr>
      <w:r>
        <w:t xml:space="preserve">3. wenn verschiedene Finanzgerichte sich rechtskräftig für zuständig erklärt haben,</w:t>
      </w:r>
    </w:p>
    <w:p>
      <w:pPr>
        <w:ind w:left="420"/>
      </w:pPr>
      <w:r>
        <w:t xml:space="preserve">4. wenn verschiedene Finanzgerichte, von denen eines für den Rechtsstreit zuständig ist, sich rechtskräftig für unzuständig erklärt haben,</w:t>
      </w:r>
    </w:p>
    <w:p>
      <w:pPr>
        <w:ind w:left="420"/>
      </w:pPr>
      <w:r>
        <w:t xml:space="preserve">5. wenn eine örtliche Zuständigkeit nach § 38 nicht gegeben ist.</w:t>
      </w:r>
    </w:p>
    <w:p>
      <w:r>
        <w:t xml:space="preserve">(2) Jeder am Rechtsstreit Beteiligte und jedes mit dem Rechtsstreit befasste Finanzgericht kann den Bundesfinanzhof anrufen. Dieser kann ohne mündliche Verhandlung entscheiden.</w:t>
      </w:r>
    </w:p>
    <w:p>
      <w:r>
        <w:rPr>
          <w:color w:val="555555"/>
          <w:sz w:val="17"/>
        </w:rPr>
        <w:t xml:space="preserve">Zitiervorschlag: § 39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