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Örtlich zuständig ist das Finanzgericht, in dessen Bezirk die Behörde, gegen welche die Klage gerichtet ist, ihren Sitz hat.</w:t>
      </w:r>
    </w:p>
    <w:p>
      <w:r>
        <w:t xml:space="preserve">(2) Ist die in Absatz 1 bezeichnete Behörde eine oberste Finanzbehörde, so ist das Finanzgericht zuständig, in dessen Bezirk der Kläger seinen Wohnsitz, seine Geschäftsleitung oder seinen gewöhnlichen Aufenthalt hat; bei Zöllen, Verbrauchsteuern und Monopolabgaben ist das Finanzgericht zuständig, in dessen Bezirk ein Tatbestand verwirklicht wird, an den das Gesetz die Abgabe knüpft. Hat der Kläger im Bezirk der obersten Finanzbehörde keinen Wohnsitz, keine Geschäftsleitung und keinen gewöhnlichen Aufenthalt, so findet Absatz 1 Anwendung.</w:t>
      </w:r>
    </w:p>
    <w:p>
      <w:r>
        <w:t xml:space="preserve">(2a) In Angelegenheiten des Familienleistungsausgleichs nach Maßgabe der §§ 62 bis 78 des Einkommensteuergesetzes ist das Finanzgericht zuständig, in dessen Bezirk der Kläger seinen Wohnsitz oder seinen gewöhnlichen Aufenthalt hat. Hat der Kläger im Inland keinen Wohnsitz und keinen gewöhnlichen Aufenthalt, ist das Finanzgericht zuständig, in dessen Bezirk die Behörde, gegen welche die Klage gerichtet ist, ihren Sitz hat.</w:t>
      </w:r>
    </w:p>
    <w:p>
      <w:r>
        <w:t xml:space="preserve">(3) Befindet sich der Sitz einer Finanzbehörde außerhalb ihres Bezirks, so richtet sich die örtliche Zuständigkeit abweichend von Absatz 1 nach der Lage des Bezirks.</w:t>
      </w:r>
    </w:p>
    <w:p>
      <w:r>
        <w:rPr>
          <w:color w:val="555555"/>
          <w:sz w:val="17"/>
        </w:rPr>
        <w:t xml:space="preserve">Zitiervorschlag: § 38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https://recht.nulegal.eu/gesetze/FGO/38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