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Bundesfinanzhof entscheidet über das Rechtsmittel</w:t>
      </w:r>
    </w:p>
    <w:p>
      <w:pPr>
        <w:ind w:left="420"/>
      </w:pPr>
      <w:r>
        <w:t xml:space="preserve">1. der Revision gegen Urteile des Finanzgerichts und gegen Entscheidungen, die Urteilen des Finanzgerichts gleichstehen,</w:t>
      </w:r>
    </w:p>
    <w:p>
      <w:pPr>
        <w:ind w:left="420"/>
      </w:pPr>
      <w:r>
        <w:t xml:space="preserve">2. der Beschwerde gegen andere Entscheidungen des Finanzgerichts, des Vorsitzenden oder des Berichterstatters.</w:t>
      </w:r>
    </w:p>
    <w:p>
      <w:r>
        <w:rPr>
          <w:color w:val="555555"/>
          <w:sz w:val="17"/>
        </w:rPr>
        <w:t xml:space="preserve">Zitiervorschlag: § 36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