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 FGO</w:t>
      </w:r>
    </w:p>
    <w:p>
      <w:r>
        <w:rPr>
          <w:color w:val="555555"/>
          <w:sz w:val="18"/>
        </w:rPr>
        <w:t xml:space="preserve">Finanzgerichtsordnung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Berufung zum Amt des ehrenamtlichen Richters dürfen ablehnen</w:t>
      </w:r>
    </w:p>
    <w:p>
      <w:pPr>
        <w:ind w:left="420"/>
      </w:pPr>
      <w:r>
        <w:t xml:space="preserve">1. Geistliche und Religionsdiener,</w:t>
      </w:r>
    </w:p>
    <w:p>
      <w:pPr>
        <w:ind w:left="420"/>
      </w:pPr>
      <w:r>
        <w:t xml:space="preserve">2. Schöffen und andere ehrenamtliche Richter,</w:t>
      </w:r>
    </w:p>
    <w:p>
      <w:pPr>
        <w:ind w:left="420"/>
      </w:pPr>
      <w:r>
        <w:t xml:space="preserve">3. Personen, die zwei Amtsperioden lang als ehrenamtliche Richter beim Finanzgericht tätig gewesen sind,</w:t>
      </w:r>
    </w:p>
    <w:p>
      <w:pPr>
        <w:ind w:left="420"/>
      </w:pPr>
      <w:r>
        <w:t xml:space="preserve">4. Ärzte, Krankenpfleger, Hebammen,</w:t>
      </w:r>
    </w:p>
    <w:p>
      <w:pPr>
        <w:ind w:left="420"/>
      </w:pPr>
      <w:r>
        <w:t xml:space="preserve">5. Apothekenleiter, die kein pharmazeutisches Personal beschäftigen,</w:t>
      </w:r>
    </w:p>
    <w:p>
      <w:pPr>
        <w:ind w:left="420"/>
      </w:pPr>
      <w:r>
        <w:t xml:space="preserve">6. Personen, die die Regelaltersgrenze nach dem Sechsten Buch Sozialgesetzbuch erreicht haben.</w:t>
      </w:r>
    </w:p>
    <w:p>
      <w:r>
        <w:t xml:space="preserve">(2) In besonderen Härtefällen kann außerdem auf Antrag von der Übernahme des Amtes befreit werden.</w:t>
      </w:r>
    </w:p>
    <w:p>
      <w:r>
        <w:rPr>
          <w:color w:val="555555"/>
          <w:sz w:val="17"/>
        </w:rPr>
        <w:t xml:space="preserve">Zitiervorschlag: § 20 FGO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https://recht.nulegal.eu/gesetze/FGO/20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