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Zum ehrenamtlichen Richter können nicht berufen werden</w:t>
      </w:r>
    </w:p>
    <w:p>
      <w:pPr>
        <w:ind w:left="420"/>
      </w:pPr>
      <w:r>
        <w:t xml:space="preserve">1. Mitglieder des Bundestages, des Europäischen Parlaments, der gesetzgebenden Körperschaften eines Landes, der Bundesregierung oder einer Landesregierung,</w:t>
      </w:r>
    </w:p>
    <w:p>
      <w:pPr>
        <w:ind w:left="420"/>
      </w:pPr>
      <w:r>
        <w:t xml:space="preserve">2. Richter,</w:t>
      </w:r>
    </w:p>
    <w:p>
      <w:pPr>
        <w:ind w:left="420"/>
      </w:pPr>
      <w:r>
        <w:t xml:space="preserve">3. Beamte und Angestellte der Steuerverwaltungen des Bundes und der Länder,</w:t>
      </w:r>
    </w:p>
    <w:p>
      <w:pPr>
        <w:ind w:left="420"/>
      </w:pPr>
      <w:r>
        <w:t xml:space="preserve">4. Berufssoldaten und Soldaten auf Zeit,</w:t>
      </w:r>
    </w:p>
    <w:p>
      <w:pPr>
        <w:ind w:left="420"/>
      </w:pPr>
      <w:r>
        <w:t xml:space="preserve">5. Rechtsanwälte, Notare, Patentanwälte, Steuerberater, Mitglieder Geschäftsführungs- und Aufsichtsorgane von Berufsausübungsgesellschaften im Sinne der Bundesrechtsanwaltsordnung, der Patentanwaltsordnung und des Steuerberatungsgesetzes, ferner Steuerbevollmächtigte, Wirtschaftsprüfer, vereidigte Buchprüfer und Personen, die fremde Rechtsangelegenheiten geschäftsmäßig besorgen.</w:t>
      </w:r>
    </w:p>
    <w:p>
      <w:r>
        <w:rPr>
          <w:color w:val="555555"/>
          <w:sz w:val="17"/>
        </w:rPr>
        <w:t xml:space="preserve">Zitiervorschlag: § 19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