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(Inkrafttreten)</w:t>
      </w:r>
    </w:p>
    <w:p>
      <w:r>
        <w:t xml:space="preserve">(2) (Überleitungsvorschriften)</w:t>
      </w:r>
    </w:p>
    <w:p>
      <w:r>
        <w:rPr>
          <w:color w:val="555555"/>
          <w:sz w:val="17"/>
        </w:rPr>
        <w:t xml:space="preserve">Zitiervorschlag: § 184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