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156 FGO</w:t>
      </w:r>
    </w:p>
    <w:p>
      <w:r>
        <w:rPr>
          <w:color w:val="555555"/>
          <w:sz w:val="18"/>
        </w:rPr>
        <w:t xml:space="preserve">Finanzgerichtsordnung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6 des Einführungsgesetzes zum Gerichtsverfassungsgesetz gilt entsprechend.</w:t>
      </w:r>
    </w:p>
    <w:p>
      <w:r>
        <w:rPr>
          <w:color w:val="555555"/>
          <w:sz w:val="17"/>
        </w:rPr>
        <w:t xml:space="preserve">Zitiervorschlag: § 156 FGO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https://recht.nulegal.eu/gesetze/FGO/156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