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den Beteiligten zu erstattenden Aufwendungen werden auf Antrag von dem Urkundsbeamten des Gerichts des ersten Rechtszugs festgesetzt.</w:t>
      </w:r>
    </w:p>
    <w:p>
      <w:r>
        <w:t xml:space="preserve">(2) Gegen die Festsetzung ist die Erinnerung an das Gericht gegeben. Die Frist für die Einlegung der Erinnerung beträgt zwei Wochen. Über die Zulässigkeit der Erinnerung sind die Beteiligten zu belehren.</w:t>
      </w:r>
    </w:p>
    <w:p>
      <w:r>
        <w:t xml:space="preserve">(3) Der Vorsitzende des Gerichts oder das Gericht können anordnen, dass die Vollstreckung einstweilen auszusetzen ist.</w:t>
      </w:r>
    </w:p>
    <w:p>
      <w:r>
        <w:t xml:space="preserve">(4) Über die Erinnerung entscheidet das Gericht durch Beschluss.</w:t>
      </w:r>
    </w:p>
    <w:p>
      <w:r>
        <w:rPr>
          <w:color w:val="555555"/>
          <w:sz w:val="17"/>
        </w:rPr>
        <w:t xml:space="preserve">Zitiervorschlag: § 149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