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144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 Rechtsbehelf seinem vollen Umfang nach zurückgenommen worden, so wird über die Kosten des Verfahrens nur entschieden, wenn ein Beteiligter Kostenerstattung beantragt.</w:t>
      </w:r>
    </w:p>
    <w:p>
      <w:r>
        <w:rPr>
          <w:color w:val="555555"/>
          <w:sz w:val="17"/>
        </w:rPr>
        <w:t xml:space="preserve">Zitiervorschlag: § 144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