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hat im Urteil oder, wenn das Verfahren in anderer Weise beendet worden ist, durch Beschluss über die Kosten zu entscheiden.</w:t>
      </w:r>
    </w:p>
    <w:p>
      <w:r>
        <w:t xml:space="preserve">(2) Wird eine Sache vom Bundesfinanzhof an das Finanzgericht zurückverwiesen, so kann diesem die Entscheidung über die Kosten des Verfahrens übertragen werden.</w:t>
      </w:r>
    </w:p>
    <w:p>
      <w:r>
        <w:rPr>
          <w:color w:val="555555"/>
          <w:sz w:val="17"/>
        </w:rPr>
        <w:t xml:space="preserve">Zitiervorschlag: § 143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