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Richter werden auf Lebenszeit ernannt, soweit nicht in § 15 Abweichendes bestimmt ist.</w:t>
      </w:r>
    </w:p>
    <w:p>
      <w:r>
        <w:t xml:space="preserve">(2) Die Richter des Bundesfinanzhofs müssen das 35. Lebensjahr vollendet haben.</w:t>
      </w:r>
    </w:p>
    <w:p>
      <w:r>
        <w:rPr>
          <w:color w:val="555555"/>
          <w:sz w:val="17"/>
        </w:rPr>
        <w:t xml:space="preserve">Zitiervorschlag: § 14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https://recht.nulegal.eu/gesetze/FGO/14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