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Wenn ein Beteiligter teils obsiegt, teils unterliegt, so sind die Kosten gegeneinander aufzuheben oder verhältnismäßig zu teilen. Sind die Kosten gegeneinander aufgehoben, so fallen die Gerichtskosten jedem Teil zur Hälfte zur Last. Einem Beteiligten können die Kosten ganz auferlegt werden, wenn der andere nur zu einem geringen Teil unterlegen ist.</w:t>
      </w:r>
    </w:p>
    <w:p>
      <w:r>
        <w:t xml:space="preserve">(2) Wer einen Antrag, eine Klage, ein Rechtsmittel oder einen anderen Rechtsbehelf zurücknimmt, hat die Kosten zu tragen.</w:t>
      </w:r>
    </w:p>
    <w:p>
      <w:r>
        <w:t xml:space="preserve">(3) Kosten, die durch einen Antrag auf Wiedereinsetzung in den vorigen Stand entstehen, fallen dem Antragsteller zur Last.</w:t>
      </w:r>
    </w:p>
    <w:p>
      <w:r>
        <w:rPr>
          <w:color w:val="555555"/>
          <w:sz w:val="17"/>
        </w:rPr>
        <w:t xml:space="preserve">Zitiervorschlag: § 136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