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135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unterliegende Beteiligte trägt die Kosten des Verfahrens.</w:t>
      </w:r>
    </w:p>
    <w:p>
      <w:r>
        <w:t xml:space="preserve">(2) Die Kosten eines ohne Erfolg eingelegten Rechtsmittels fallen demjenigen zur Last, der das Rechtsmittel eingelegt hat.</w:t>
      </w:r>
    </w:p>
    <w:p>
      <w:r>
        <w:t xml:space="preserve">(3) Dem Beigeladenen können Kosten nur auferlegt werden, soweit er Anträge gestellt oder Rechtsmittel eingelegt hat.</w:t>
      </w:r>
    </w:p>
    <w:p>
      <w:r>
        <w:t xml:space="preserve">(4) Die Kosten des erfolgreichen Wiederaufnahmeverfahrens können der Staatskasse auferlegt werden, soweit sie nicht durch das Verschulden eines Beteiligten entstanden sind.</w:t>
      </w:r>
    </w:p>
    <w:p>
      <w:r>
        <w:t xml:space="preserve">(5) Besteht der kostenpflichtige Teil aus mehreren Personen, so haften diese nach Kopfteilen. Bei erheblicher Verschiedenheit ihrer Beteiligung kann nach Ermessen des Gerichts die Beteiligung zum Maßstab genommen werden.</w:t>
      </w:r>
    </w:p>
    <w:p>
      <w:r>
        <w:rPr>
          <w:color w:val="555555"/>
          <w:sz w:val="17"/>
        </w:rPr>
        <w:t xml:space="preserve">Zitiervorschlag: § 135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