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130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Hält das Finanzgericht, der Vorsitzende oder der Berichterstatter, dessen Entscheidung angefochten wird, die Beschwerde für begründet, so ist ihr abzuhelfen; sonst ist sie unverzüglich dem Bundesfinanzhof vorzulegen.</w:t>
      </w:r>
    </w:p>
    <w:p>
      <w:r>
        <w:t xml:space="preserve">(2) Das Finanzgericht soll die Beteiligten von der Vorlage der Beschwerde in Kenntnis setzen.</w:t>
      </w:r>
    </w:p>
    <w:p>
      <w:r>
        <w:rPr>
          <w:color w:val="555555"/>
          <w:sz w:val="17"/>
        </w:rPr>
        <w:t xml:space="preserve">Zitiervorschlag: § 130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