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ist beim Finanzgericht schriftlich oder zu Protokoll des Urkundsbeamten der Geschäftsstelle innerhalb von zwei Wochen nach Bekanntgabe der Entscheidung einzulegen.</w:t>
      </w:r>
    </w:p>
    <w:p>
      <w:r>
        <w:t xml:space="preserve">(2) Die Beschwerdefrist ist auch gewahrt, wenn die Beschwerde innerhalb der Frist beim Bundesfinanzhof eingeht.</w:t>
      </w:r>
    </w:p>
    <w:p>
      <w:r>
        <w:rPr>
          <w:color w:val="555555"/>
          <w:sz w:val="17"/>
        </w:rPr>
        <w:t xml:space="preserve">Zitiervorschlag: § 129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