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Klageänderungen und Beiladungen sind im Revisionsverfahren unzulässig. Das gilt nicht für Beiladungen nach § 60 Abs. 3 Satz 1.</w:t>
      </w:r>
    </w:p>
    <w:p>
      <w:r>
        <w:t xml:space="preserve">(2) Ein im Revisionsverfahren nach § 60 Abs. 3 Satz 1 Beigeladener kann Verfahrensmängel nur innerhalb von zwei Monaten nach Zustellung des Beiladungsbeschlusses rügen. Die Frist kann auf einen vor ihrem Ablauf gestellten Antrag von dem Vorsitzenden verlängert werden.</w:t>
      </w:r>
    </w:p>
    <w:p>
      <w:r>
        <w:rPr>
          <w:color w:val="555555"/>
          <w:sz w:val="17"/>
        </w:rPr>
        <w:t xml:space="preserve">Zitiervorschlag: § 123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