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118 FGO</w:t>
      </w:r>
    </w:p>
    <w:p>
      <w:r>
        <w:rPr>
          <w:color w:val="555555"/>
          <w:sz w:val="18"/>
        </w:rPr>
        <w:t xml:space="preserve">Finanzgerichtsordnung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Revision kann nur darauf gestützt werden, dass das angefochtene Urteil auf der Verletzung von Bundesrecht beruhe. Soweit im Fall des § 33 Abs. 1 Nr. 4 die Vorschriften dieses Unterabschnitts durch Landesgesetz für anwendbar erklärt werden, kann die Revision auch darauf gestützt werden, dass das angefochtene Urteil auf der Verletzung von Landesrecht beruhe.</w:t>
      </w:r>
    </w:p>
    <w:p>
      <w:r>
        <w:t xml:space="preserve">(2) Der Bundesfinanzhof ist an die in dem angefochtenen Urteil getroffenen tatsächlichen Feststellungen gebunden, es sei denn, dass in bezug auf diese Feststellungen zulässige und begründete Revisionsgründe vorgebracht sind.</w:t>
      </w:r>
    </w:p>
    <w:p>
      <w:r>
        <w:t xml:space="preserve">(3) Wird die Revision auf Verfahrensmängel gestützt und liegt nicht zugleich eine der Voraussetzungen des § 115 Abs. 2 Nr. 1 und 2 vor, so ist nur über die geltend gemachten Verfahrensmängel zu entscheiden. Im Übrigen ist der Bundesfinanzhof an die geltend gemachten Revisionsgründe nicht gebunden.</w:t>
      </w:r>
    </w:p>
    <w:p>
      <w:r>
        <w:rPr>
          <w:color w:val="555555"/>
          <w:sz w:val="17"/>
        </w:rPr>
        <w:t xml:space="preserve">Zitiervorschlag: § 118 FGO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https://recht.nulegal.eu/gesetze/FGO/118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