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Rechtskräftige Urteile binden, soweit über den Streitgegenstand entschieden worden ist,</w:t>
      </w:r>
    </w:p>
    <w:p>
      <w:pPr>
        <w:ind w:left="420"/>
      </w:pPr>
      <w:r>
        <w:t xml:space="preserve">1. die Beteiligten und ihre Rechtsnachfolger,</w:t>
      </w:r>
    </w:p>
    <w:p>
      <w:pPr>
        <w:ind w:left="420"/>
      </w:pPr>
      <w:r>
        <w:t xml:space="preserve">2. in den Fällen des § 48 Abs. 1 Nr. 1 die nicht klageberechtigten Gesellschafter oder Gemeinschafter und</w:t>
      </w:r>
    </w:p>
    <w:p>
      <w:pPr>
        <w:ind w:left="420"/>
      </w:pPr>
      <w:r>
        <w:t xml:space="preserve">3. im Fall des § 60a die Personen, die einen Antrag auf Beiladung nicht oder nicht fristgemäß gestellt haben.</w:t>
      </w:r>
    </w:p>
    <w:p>
      <w:r>
        <w:t xml:space="preserve">Die gegen eine Finanzbehörde ergangenen Urteile wirken auch gegenüber der öffentlich-rechtlichen Körperschaft, der die beteiligte Finanzbehörde angehört.</w:t>
      </w:r>
    </w:p>
    <w:p>
      <w:r>
        <w:t xml:space="preserve">(2) Die Vorschriften der Abgabenordnung und anderer Steuergesetze über die Rücknahme, Widerruf, Aufhebung und Änderung von Verwaltungsakten sowie über die Nachforderung von Steuern bleiben unberührt, soweit sich aus Absatz 1 Satz 1 nichts anderes ergibt.</w:t>
      </w:r>
    </w:p>
    <w:p>
      <w:r>
        <w:rPr>
          <w:color w:val="555555"/>
          <w:sz w:val="17"/>
        </w:rPr>
        <w:t xml:space="preserve">Zitiervorschlag: § 110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