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Bundesfinanzhof besteht aus dem Präsidenten und aus den Vorsitzenden Richtern und weiteren Richtern in erforderlicher Anzahl.</w:t>
      </w:r>
    </w:p>
    <w:p>
      <w:r>
        <w:t xml:space="preserve">(2) Beim Bundesfinanzhof werden Senate gebildet. § 5 Abs. 2 Satz 2 gilt sinngemäß.</w:t>
      </w:r>
    </w:p>
    <w:p>
      <w:r>
        <w:t xml:space="preserve">(3) Die Senate des Bundesfinanzhofs entscheiden in der Besetzung von fünf Richtern, bei Beschlüssen außerhalb der mündlichen Verhandlung in der Besetzung von drei Richtern.</w:t>
      </w:r>
    </w:p>
    <w:p>
      <w:r>
        <w:rPr>
          <w:color w:val="555555"/>
          <w:sz w:val="17"/>
        </w:rPr>
        <w:t xml:space="preserve">Zitiervorschlag: § 10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