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FGNV</w:t>
      </w:r>
    </w:p>
    <w:p>
      <w:r>
        <w:rPr>
          <w:color w:val="555555"/>
          <w:sz w:val="18"/>
        </w:rPr>
        <w:t xml:space="preserve">Festbetragsgruppen-Neubestimmungsverordnung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35a Abs. 1 Satz 1 Nr. 2 des Fünften Buches Sozialgesetzbuch - Gesetzliche Krankenversicherung - (Artikel 1 des Gesetzes vom 20. Dezember 1988, BGBl. I S. 2477, 2482), der durch Artikel 1 Nr. 3 des Gesetzes vom 27. Juli 2001 (BGBl. I S. 1948) eingefügt worden ist, jeweils in Verbindung mit § 1 des Zuständigkeitsanpassungsgesetzes vom 16. August 2002 (BGBl. I S. 3165) und dem Organisationserlass vom 22. Oktober 2002 (BGBl. I S. 4206) verordnet das Bundesministerium für Gesundheit und Soziale Sicherung im Einvernehmen mit dem Bundesministerium für Wirtschaft und Arbeit:</w:t>
      </w:r>
    </w:p>
    <w:p>
      <w:r>
        <w:rPr>
          <w:color w:val="555555"/>
          <w:sz w:val="17"/>
        </w:rPr>
        <w:t xml:space="preserve">Zitiervorschlag: Eingangsformel FGNV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https://recht.nulegal.eu/gesetze/FGNV/eingangsformel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