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FGNV — (zu § 1)</w:t>
      </w:r>
    </w:p>
    <w:p>
      <w:r>
        <w:rPr>
          <w:color w:val="555555"/>
          <w:sz w:val="18"/>
        </w:rPr>
        <w:t xml:space="preserve">Festbetragsgruppen-Neubestimmungsverordnung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2003, 94 - 95</w:t>
      </w:r>
    </w:p>
    <w:p>
      <w:r>
        <w:rPr>
          <w:rFonts w:ascii="Courier New" w:hAnsi="Courier New"/>
          <w:sz w:val="17"/>
        </w:rPr>
        <w:t xml:space="preserve">Anlage Teil 1</w:t>
      </w:r>
    </w:p>
    <w:p>
      <w:r>
        <w:rPr>
          <w:rFonts w:ascii="Courier New" w:hAnsi="Courier New"/>
          <w:sz w:val="17"/>
        </w:rPr>
        <w:t xml:space="preserve">Gemäß § 1 Satz 3 der Verordnung ist für die Festbetragsgruppe nach § 35a Abs. 3 Satz 1 Nr. 2 SGB V folgende Formel anzuwenden:</w:t>
      </w:r>
    </w:p>
    <w:p>
      <w:r>
        <w:rPr>
          <w:rFonts w:ascii="Courier New" w:hAnsi="Courier New"/>
          <w:sz w:val="17"/>
        </w:rPr>
        <w:t xml:space="preserve">p = a x wäf(hoch)b x pk(hoch) c</w:t>
      </w:r>
    </w:p>
    <w:p>
      <w:r>
        <w:rPr>
          <w:rFonts w:ascii="Courier New" w:hAnsi="Courier New"/>
          <w:sz w:val="17"/>
        </w:rPr>
        <w:t xml:space="preserve">Dabei bedeuten:</w:t>
      </w:r>
    </w:p>
    <w:p>
      <w:r>
        <w:rPr>
          <w:rFonts w:ascii="Courier New" w:hAnsi="Courier New"/>
          <w:sz w:val="17"/>
        </w:rPr>
        <w:t xml:space="preserve">P =    Ergebnis der Regressionsgleichung</w:t>
      </w:r>
    </w:p>
    <w:p>
      <w:r>
        <w:rPr>
          <w:rFonts w:ascii="Courier New" w:hAnsi="Courier New"/>
          <w:sz w:val="17"/>
        </w:rPr>
        <w:t xml:space="preserve">wäf =    Wirkstärkenäquivalenzfaktor des Arzneimittels;</w:t>
      </w:r>
    </w:p>
    <w:p>
      <w:r>
        <w:rPr>
          <w:rFonts w:ascii="Courier New" w:hAnsi="Courier New"/>
          <w:sz w:val="17"/>
        </w:rPr>
        <w:t xml:space="preserve">dieser ergibt sich nach der folgenden Formel:</w:t>
      </w:r>
    </w:p>
    <w:p>
      <w:r>
        <w:rPr>
          <w:rFonts w:ascii="Courier New" w:hAnsi="Courier New"/>
          <w:sz w:val="17"/>
        </w:rPr>
        <w:t xml:space="preserve">    wäf = w/w/Äf</w:t>
      </w:r>
    </w:p>
    <w:p>
      <w:r>
        <w:rPr>
          <w:rFonts w:ascii="Courier New" w:hAnsi="Courier New"/>
          <w:sz w:val="17"/>
        </w:rPr>
        <w:t xml:space="preserve">    Dabei bedeuten:</w:t>
      </w:r>
    </w:p>
    <w:p>
      <w:r>
        <w:rPr>
          <w:rFonts w:ascii="Courier New" w:hAnsi="Courier New"/>
          <w:sz w:val="17"/>
        </w:rPr>
        <w:t xml:space="preserve">    w = Wirkstärke in der jeweils für das Arzneimittel geltenden Einheit</w:t>
      </w:r>
    </w:p>
    <w:p>
      <w:r>
        <w:rPr>
          <w:rFonts w:ascii="Courier New" w:hAnsi="Courier New"/>
          <w:sz w:val="17"/>
        </w:rPr>
        <w:t xml:space="preserve">    Äf = Äquivalenzfaktor gemäß Gruppenbeschreibung</w:t>
      </w:r>
    </w:p>
    <w:p>
      <w:r>
        <w:rPr>
          <w:rFonts w:ascii="Courier New" w:hAnsi="Courier New"/>
          <w:sz w:val="17"/>
        </w:rPr>
        <w:t xml:space="preserve">pk =    Packungsgröße in der jeweils für das Arzneimittel geltenden Einheit</w:t>
      </w:r>
    </w:p>
    <w:p>
      <w:r>
        <w:rPr>
          <w:rFonts w:ascii="Courier New" w:hAnsi="Courier New"/>
          <w:sz w:val="17"/>
        </w:rPr>
        <w:t xml:space="preserve">a =    Multiplikationsfaktor als Ergebnis der Regressionsanalyse</w:t>
      </w:r>
    </w:p>
    <w:p>
      <w:r>
        <w:rPr>
          <w:rFonts w:ascii="Courier New" w:hAnsi="Courier New"/>
          <w:sz w:val="17"/>
        </w:rPr>
        <w:t xml:space="preserve">b =    Exponent des Wirkstärkenäquivalenzfaktors als Ergebnis der Regressionsanalyse</w:t>
      </w:r>
    </w:p>
    <w:p>
      <w:r>
        <w:rPr>
          <w:rFonts w:ascii="Courier New" w:hAnsi="Courier New"/>
          <w:sz w:val="17"/>
        </w:rPr>
        <w:t xml:space="preserve">c =    Exponent der Packungsgröße als Ergebnis der Regressionsanalyse</w:t>
      </w:r>
    </w:p>
    <w:p>
      <w:r>
        <w:rPr>
          <w:rFonts w:ascii="Courier New" w:hAnsi="Courier New"/>
          <w:sz w:val="17"/>
        </w:rPr>
        <w:t xml:space="preserve">Festbetragsgruppe: (§ 35a Abs. 3 Satz 1Nr. 2 SGB V)    ACE-Hemmer</w:t>
      </w:r>
    </w:p>
    <w:p>
      <w:r>
        <w:rPr>
          <w:rFonts w:ascii="Courier New" w:hAnsi="Courier New"/>
          <w:sz w:val="17"/>
        </w:rPr>
        <w:t xml:space="preserve">Gruppenbeschreibung    Standardpackung</w:t>
      </w:r>
    </w:p>
    <w:p>
      <w:r>
        <w:rPr>
          <w:rFonts w:ascii="Courier New" w:hAnsi="Courier New"/>
          <w:sz w:val="17"/>
        </w:rPr>
        <w:t xml:space="preserve">Wirkstoffe    Äquivalenzfaktoren (Äf)    Wirkstärkenäquivalenzfaktor (wäf)    3,97</w:t>
      </w:r>
    </w:p>
    <w:p>
      <w:r>
        <w:rPr>
          <w:rFonts w:ascii="Courier New" w:hAnsi="Courier New"/>
          <w:sz w:val="17"/>
        </w:rPr>
        <w:t xml:space="preserve">Benazepril    0,62    Packungsgröße (pk)    100 Stück</w:t>
      </w:r>
    </w:p>
    <w:p>
      <w:r>
        <w:rPr>
          <w:rFonts w:ascii="Courier New" w:hAnsi="Courier New"/>
          <w:sz w:val="17"/>
        </w:rPr>
        <w:t xml:space="preserve">Captopril    6,29    Festbetrag    34,60 Euro</w:t>
      </w:r>
    </w:p>
    <w:p>
      <w:r>
        <w:rPr>
          <w:rFonts w:ascii="Courier New" w:hAnsi="Courier New"/>
          <w:sz w:val="17"/>
        </w:rPr>
        <w:t xml:space="preserve">Cilazapril    0,31        </w:t>
      </w:r>
    </w:p>
    <w:p>
      <w:r>
        <w:rPr>
          <w:rFonts w:ascii="Courier New" w:hAnsi="Courier New"/>
          <w:sz w:val="17"/>
        </w:rPr>
        <w:t xml:space="preserve">Enalapril    1,0        </w:t>
      </w:r>
    </w:p>
    <w:p>
      <w:r>
        <w:rPr>
          <w:rFonts w:ascii="Courier New" w:hAnsi="Courier New"/>
          <w:sz w:val="17"/>
        </w:rPr>
        <w:t xml:space="preserve">Fosinopril    1,64        </w:t>
      </w:r>
    </w:p>
    <w:p>
      <w:r>
        <w:rPr>
          <w:rFonts w:ascii="Courier New" w:hAnsi="Courier New"/>
          <w:sz w:val="17"/>
        </w:rPr>
        <w:t xml:space="preserve">Lisinopril    1,19        </w:t>
      </w:r>
    </w:p>
    <w:p>
      <w:r>
        <w:rPr>
          <w:rFonts w:ascii="Courier New" w:hAnsi="Courier New"/>
          <w:sz w:val="17"/>
        </w:rPr>
        <w:t xml:space="preserve">Moexipril    1,11        </w:t>
      </w:r>
    </w:p>
    <w:p>
      <w:r>
        <w:rPr>
          <w:rFonts w:ascii="Courier New" w:hAnsi="Courier New"/>
          <w:sz w:val="17"/>
        </w:rPr>
        <w:t xml:space="preserve">Perindopril    0,28        </w:t>
      </w:r>
    </w:p>
    <w:p>
      <w:r>
        <w:rPr>
          <w:rFonts w:ascii="Courier New" w:hAnsi="Courier New"/>
          <w:sz w:val="17"/>
        </w:rPr>
        <w:t xml:space="preserve">Quinapril    1,78        </w:t>
      </w:r>
    </w:p>
    <w:p>
      <w:r>
        <w:rPr>
          <w:rFonts w:ascii="Courier New" w:hAnsi="Courier New"/>
          <w:sz w:val="17"/>
        </w:rPr>
        <w:t xml:space="preserve">Ramipril    0,31        </w:t>
      </w:r>
    </w:p>
    <w:p>
      <w:r>
        <w:rPr>
          <w:rFonts w:ascii="Courier New" w:hAnsi="Courier New"/>
          <w:sz w:val="17"/>
        </w:rPr>
        <w:t xml:space="preserve">Trandolapril    0,27    Regressionsgleichung</w:t>
      </w:r>
    </w:p>
    <w:p>
      <w:r>
        <w:rPr>
          <w:rFonts w:ascii="Courier New" w:hAnsi="Courier New"/>
          <w:sz w:val="17"/>
        </w:rPr>
        <w:t xml:space="preserve">orale Darreichungsformen Kapseln, Tabletten, Filmtabletten    p = 0,016864788 x wäf(hoch)0,507722 x pk(hoch)0,734500</w:t>
      </w:r>
    </w:p>
    <w:p>
      <w:r>
        <w:rPr>
          <w:rFonts w:ascii="Courier New" w:hAnsi="Courier New"/>
          <w:sz w:val="17"/>
        </w:rPr>
        <w:t xml:space="preserve">Anlage Teil 2</w:t>
      </w:r>
    </w:p>
    <w:p>
      <w:r>
        <w:rPr>
          <w:rFonts w:ascii="Courier New" w:hAnsi="Courier New"/>
          <w:sz w:val="17"/>
        </w:rPr>
        <w:t xml:space="preserve">Gemäß § 1 Satz 3 der Verordnung ist für die Festbetragsgruppe nach § 35a Abs. 3 Satz 1 Nr. 3 SGB V folgende Formel anzuwenden:</w:t>
      </w:r>
    </w:p>
    <w:p>
      <w:r>
        <w:rPr>
          <w:rFonts w:ascii="Courier New" w:hAnsi="Courier New"/>
          <w:sz w:val="17"/>
        </w:rPr>
        <w:t xml:space="preserve">p = a x wvf(hoch)b x pk(hoch)c</w:t>
      </w:r>
    </w:p>
    <w:p>
      <w:r>
        <w:rPr>
          <w:rFonts w:ascii="Courier New" w:hAnsi="Courier New"/>
          <w:sz w:val="17"/>
        </w:rPr>
        <w:t xml:space="preserve">Dabei bedeuten:</w:t>
      </w:r>
    </w:p>
    <w:p>
      <w:r>
        <w:rPr>
          <w:rFonts w:ascii="Courier New" w:hAnsi="Courier New"/>
          <w:sz w:val="17"/>
        </w:rPr>
        <w:t xml:space="preserve">P =    Ergebnis der Regressionsgleichung</w:t>
      </w:r>
    </w:p>
    <w:p>
      <w:r>
        <w:rPr>
          <w:rFonts w:ascii="Courier New" w:hAnsi="Courier New"/>
          <w:sz w:val="17"/>
        </w:rPr>
        <w:t xml:space="preserve">wvf =    Wirkstärkenvergleichsfaktor des jeweiligen Arzneimittels; dieser ergibt sich nach der folgenden Formel:</w:t>
      </w:r>
    </w:p>
    <w:p>
      <w:r>
        <w:rPr>
          <w:rFonts w:ascii="Courier New" w:hAnsi="Courier New"/>
          <w:sz w:val="17"/>
        </w:rPr>
        <w:t xml:space="preserve">    wvf = swf/Vf</w:t>
      </w:r>
    </w:p>
    <w:p>
      <w:r>
        <w:rPr>
          <w:rFonts w:ascii="Courier New" w:hAnsi="Courier New"/>
          <w:sz w:val="17"/>
        </w:rPr>
        <w:t xml:space="preserve">    Dabei bedeuten:</w:t>
      </w:r>
    </w:p>
    <w:p>
      <w:r>
        <w:rPr>
          <w:rFonts w:ascii="Courier New" w:hAnsi="Courier New"/>
          <w:sz w:val="17"/>
        </w:rPr>
        <w:t xml:space="preserve">    sw = Summe der Wirkstärken der Einzelwirkstoffe in den jeweils für das Arzneimittel geltenden Einheiten</w:t>
      </w:r>
    </w:p>
    <w:p>
      <w:r>
        <w:rPr>
          <w:rFonts w:ascii="Courier New" w:hAnsi="Courier New"/>
          <w:sz w:val="17"/>
        </w:rPr>
        <w:t xml:space="preserve">    Vf = Vergleichsfaktor gemäß Gruppenbeschreibung</w:t>
      </w:r>
    </w:p>
    <w:p>
      <w:r>
        <w:rPr>
          <w:rFonts w:ascii="Courier New" w:hAnsi="Courier New"/>
          <w:sz w:val="17"/>
        </w:rPr>
        <w:t xml:space="preserve">pk =    Packungsgröße in der jeweils für das Arzneimittel geltenden Einheit</w:t>
      </w:r>
    </w:p>
    <w:p>
      <w:r>
        <w:rPr>
          <w:rFonts w:ascii="Courier New" w:hAnsi="Courier New"/>
          <w:sz w:val="17"/>
        </w:rPr>
        <w:t xml:space="preserve">a =    Multiplikationsfaktor als Ergebnis der Regressionsanalyse</w:t>
      </w:r>
    </w:p>
    <w:p>
      <w:r>
        <w:rPr>
          <w:rFonts w:ascii="Courier New" w:hAnsi="Courier New"/>
          <w:sz w:val="17"/>
        </w:rPr>
        <w:t xml:space="preserve">b =    Exponent des Wirkstärkenvergleichsfaktors als Ergebnis der Regressionsanalyse</w:t>
      </w:r>
    </w:p>
    <w:p>
      <w:r>
        <w:rPr>
          <w:rFonts w:ascii="Courier New" w:hAnsi="Courier New"/>
          <w:sz w:val="17"/>
        </w:rPr>
        <w:t xml:space="preserve">c =    Exponent der Packungsgröße als Ergebnis der Regressionsanalyse</w:t>
      </w:r>
    </w:p>
    <w:p>
      <w:r>
        <w:rPr>
          <w:rFonts w:ascii="Courier New" w:hAnsi="Courier New"/>
          <w:sz w:val="17"/>
        </w:rPr>
        <w:t xml:space="preserve">Festbetragsgruppe: (§ 35a Abs. 3 Satz 1 Nr. 3 SGB V)    Kombinationen von Hydrochlorothiazid mit ACE-Hemmern</w:t>
      </w:r>
    </w:p>
    <w:p>
      <w:r>
        <w:rPr>
          <w:rFonts w:ascii="Courier New" w:hAnsi="Courier New"/>
          <w:sz w:val="17"/>
        </w:rPr>
        <w:t xml:space="preserve">Gruppenbeschreibung    Standardpackung</w:t>
      </w:r>
    </w:p>
    <w:p>
      <w:r>
        <w:rPr>
          <w:rFonts w:ascii="Courier New" w:hAnsi="Courier New"/>
          <w:sz w:val="17"/>
        </w:rPr>
        <w:t xml:space="preserve">Wirkstoffe    Vergleichsfaktoren (Vf)    Wirkstärkenvergleichsfaktor (wvf)    1,4</w:t>
      </w:r>
    </w:p>
    <w:p>
      <w:r>
        <w:rPr>
          <w:rFonts w:ascii="Courier New" w:hAnsi="Courier New"/>
          <w:sz w:val="17"/>
        </w:rPr>
        <w:t xml:space="preserve">Benazepril 10 mg + Hydrochlorothiazid 12,5 mg    10,65    Packungsgröße (pk)    100 Stück</w:t>
      </w:r>
    </w:p>
    <w:p>
      <w:r>
        <w:rPr>
          <w:rFonts w:ascii="Courier New" w:hAnsi="Courier New"/>
          <w:sz w:val="17"/>
        </w:rPr>
        <w:t xml:space="preserve">Festbetrag    71,42 Euro</w:t>
      </w:r>
    </w:p>
    <w:p>
      <w:r>
        <w:rPr>
          <w:rFonts w:ascii="Courier New" w:hAnsi="Courier New"/>
          <w:sz w:val="17"/>
        </w:rPr>
        <w:t xml:space="preserve">Benazepril 20 mg + Hydrochlorothiazid 25 mg    10,65        </w:t>
      </w:r>
    </w:p>
    <w:p>
      <w:r>
        <w:rPr>
          <w:rFonts w:ascii="Courier New" w:hAnsi="Courier New"/>
          <w:sz w:val="17"/>
        </w:rPr>
        <w:t xml:space="preserve">Captopril 25 mg + Hydrochlorothiazid 12,5 mg    41,78        </w:t>
      </w:r>
    </w:p>
    <w:p>
      <w:r>
        <w:rPr>
          <w:rFonts w:ascii="Courier New" w:hAnsi="Courier New"/>
          <w:sz w:val="17"/>
        </w:rPr>
        <w:t xml:space="preserve">Captopril 25 mg + Hydrochlorothiazid 25 mg    35,78        </w:t>
      </w:r>
    </w:p>
    <w:p>
      <w:r>
        <w:rPr>
          <w:rFonts w:ascii="Courier New" w:hAnsi="Courier New"/>
          <w:sz w:val="17"/>
        </w:rPr>
        <w:t xml:space="preserve">Captopril 50 mg + Hydrochlorothiazid 25 mg    41,78        </w:t>
      </w:r>
    </w:p>
    <w:p>
      <w:r>
        <w:rPr>
          <w:rFonts w:ascii="Courier New" w:hAnsi="Courier New"/>
          <w:sz w:val="17"/>
        </w:rPr>
        <w:t xml:space="preserve">Cilazapril 5 mg + Hydrochlorothiazid 12,5 mg    8,28        </w:t>
      </w:r>
    </w:p>
    <w:p>
      <w:r>
        <w:rPr>
          <w:rFonts w:ascii="Courier New" w:hAnsi="Courier New"/>
          <w:sz w:val="17"/>
        </w:rPr>
        <w:t xml:space="preserve">Enalapril 10 mg + Hydrochlorothiazid 25 mg    17,5        </w:t>
      </w:r>
    </w:p>
    <w:p>
      <w:r>
        <w:rPr>
          <w:rFonts w:ascii="Courier New" w:hAnsi="Courier New"/>
          <w:sz w:val="17"/>
        </w:rPr>
        <w:t xml:space="preserve">Lisinopril 10 mg + Hydrochlorothiazid 12,5 mg    16,79        </w:t>
      </w:r>
    </w:p>
    <w:p>
      <w:r>
        <w:rPr>
          <w:rFonts w:ascii="Courier New" w:hAnsi="Courier New"/>
          <w:sz w:val="17"/>
        </w:rPr>
        <w:t xml:space="preserve">Lisinopril 20 mg + Hydrochlorothiazid 12,5 mg    14,9        </w:t>
      </w:r>
    </w:p>
    <w:p>
      <w:r>
        <w:rPr>
          <w:rFonts w:ascii="Courier New" w:hAnsi="Courier New"/>
          <w:sz w:val="17"/>
        </w:rPr>
        <w:t xml:space="preserve">Quinapril 10 mg + Hydrochlorothiazid 12,5 mg    21,19        </w:t>
      </w:r>
    </w:p>
    <w:p>
      <w:r>
        <w:rPr>
          <w:rFonts w:ascii="Courier New" w:hAnsi="Courier New"/>
          <w:sz w:val="17"/>
        </w:rPr>
        <w:t xml:space="preserve">Quinapril 20 mg + Hydrochlorothiazid 12,5 mg    20,02        </w:t>
      </w:r>
    </w:p>
    <w:p>
      <w:r>
        <w:rPr>
          <w:rFonts w:ascii="Courier New" w:hAnsi="Courier New"/>
          <w:sz w:val="17"/>
        </w:rPr>
        <w:t xml:space="preserve">Quinapril 20 mg + Hydrochlorothiazid 25 mg    21,19        </w:t>
      </w:r>
    </w:p>
    <w:p>
      <w:r>
        <w:rPr>
          <w:rFonts w:ascii="Courier New" w:hAnsi="Courier New"/>
          <w:sz w:val="17"/>
        </w:rPr>
        <w:t xml:space="preserve">Ramipril 2,5 mg + Hydrochlorothiazid 12,5 mg    11,48        </w:t>
      </w:r>
    </w:p>
    <w:p>
      <w:r>
        <w:rPr>
          <w:rFonts w:ascii="Courier New" w:hAnsi="Courier New"/>
          <w:sz w:val="17"/>
        </w:rPr>
        <w:t xml:space="preserve">Ramipril 5 mg + Hydrochlorothiazid 25 mg    11,48    Regressionsgleichung</w:t>
      </w:r>
    </w:p>
    <w:p>
      <w:r>
        <w:rPr>
          <w:rFonts w:ascii="Courier New" w:hAnsi="Courier New"/>
          <w:sz w:val="17"/>
        </w:rPr>
        <w:t xml:space="preserve">orale Darreichungsformen Tabletten, Filmtabletten    p = 0,012512592 x wvf(hoch)0,204579 x pk(hoch)0,936379</w:t>
      </w:r>
    </w:p>
    <w:p>
      <w:r>
        <w:rPr>
          <w:color w:val="555555"/>
          <w:sz w:val="17"/>
        </w:rPr>
        <w:t xml:space="preserve">Zitiervorschlag: Anlage FGNV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https://recht.nulegal.eu/gesetze/FGNV/anlage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