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FGNV</w:t>
      </w:r>
    </w:p>
    <w:p>
      <w:r>
        <w:rPr>
          <w:color w:val="555555"/>
          <w:sz w:val="18"/>
        </w:rPr>
        <w:t xml:space="preserve">Festbetragsgruppen-Neubestimmungsverordnung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 Satz 2 festgesetzten Festbeträge sowie die nach § 1 Satz 3 errechneten Festbeträge sind an den nächsten, sich aus den §§ 2 und 3 der Arzneimittelpreisverordnung vom 14. November 1980 (BGBl. I S. 2147), geändert durch Artikel 3 des Gesetzes vom 10. November 2001 (BGBl. I S. 2992), ergebenden Apothekenabgabepreis einschließlich Umsatzsteuer anzugleichen. Bei gleicher Differenz zu zwei Apothekenabgabepreisen gilt der höhere Preis.</w:t>
      </w:r>
    </w:p>
    <w:p>
      <w:r>
        <w:rPr>
          <w:color w:val="555555"/>
          <w:sz w:val="17"/>
        </w:rPr>
        <w:t xml:space="preserve">Zitiervorschlag: § 2 FGNV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