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112 FGG-RG — Inkrafttreten, Außerkrafttreten</w:t>
      </w:r>
    </w:p>
    <w:p>
      <w:r>
        <w:rPr>
          <w:color w:val="555555"/>
          <w:sz w:val="18"/>
        </w:rPr>
        <w:t xml:space="preserve">FGG-Reformgesetz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tritt, mit Ausnahme von Artikel 110a Abs. 2 und 3, am 1. September 2009 in Kraft; ...</w:t>
      </w:r>
    </w:p>
    <w:p>
      <w:r>
        <w:t xml:space="preserve">(2) Artikel 110a Abs. 2 und 3 tritt an dem Tag in Kraft, an dem das Gesetz zur Umsetzung des Haager Übereinkommens vom 13. Januar 2000 über den internationalen Schutz von Erwachsenen vom 17. März 2007 (BGBl. I S. 314) nach seinem Artikel 3 in Kraft tritt, wenn dieser Tag auf den 1. September 2009 fällt oder vor diesem Zeitpunkt liegt.</w:t>
      </w:r>
    </w:p>
    <w:p>
      <w:r>
        <w:rPr>
          <w:color w:val="555555"/>
          <w:sz w:val="17"/>
        </w:rPr>
        <w:t xml:space="preserve">Zitiervorschlag: Art 112 FGG-RG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https://recht.nulegal.eu/gesetze/FGG-RG/112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