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FFVAV — Abrechnung, Abrechnungsinformationen, Verbrauchsinformationen</w:t>
      </w:r>
    </w:p>
    <w:p>
      <w:r>
        <w:rPr>
          <w:color w:val="555555"/>
          <w:sz w:val="18"/>
        </w:rPr>
        <w:t xml:space="preserve">Fernwärme- oder Fernkälte-Verbrauchserfassungs- und -Abrechnungsverordnung</w:t>
      </w:r>
    </w:p>
    <w:p>
      <w:r>
        <w:rPr>
          <w:color w:val="555555"/>
          <w:sz w:val="18"/>
        </w:rPr>
        <w:t xml:space="preserve">Stand: 11.11.2021 (konsolidierte Textfassung, kein amtliches Inkrafttretensdatum)</w:t>
      </w:r>
    </w:p>
    <w:p>
      <w:r>
        <w:t xml:space="preserve">(1) Ein Versorgungsunternehmen hat dem Kunden Abrechnungen und Abrechnungsinformationen einschließlich Verbrauchsinformationen unentgeltlich zu übermitteln. Auf Wunsch des Kunden hat es diese unentgeltlich auch elektronisch bereitzustellen.</w:t>
      </w:r>
    </w:p>
    <w:p>
      <w:r>
        <w:t xml:space="preserve">(2) Versorgungsunternehmen, die Kunden mit Fernwärme oder Fernkälte versorgen, sind verpflichtet, die Kosten für fernablesbare Messeinrichtungen, die Einsparungen durch die entfallende Vor-Ort-Ablesung und Einsparungen durch spartenübergreifende Fernablesung dem Kunden klar und verständlich offenzulegen.</w:t>
      </w:r>
    </w:p>
    <w:p>
      <w:r>
        <w:t xml:space="preserve">(3) Das Versorgungsunternehmen hat dem Kunden die Abrechnung mindestens einmal jährlich auf der Grundlage des tatsächlichen Verbrauchs zur Verfügung zu stellen. Soweit das Versorgungsunternehmen den tatsächlichen Verbrauch für einen bestimmten Abrechnungszeitraum gemäß § 3 Absatz 1 Satz 3 geschätzt hat, darf die Abrechnung auf dieser Verbrauchsschätzung beruhen.</w:t>
      </w:r>
    </w:p>
    <w:p>
      <w:r>
        <w:t xml:space="preserve">(4) Wenn fernablesbare Messeinrichtungen installiert sind oder Messeinrichtungen mit der Funktion der Fernablesbarkeit ausgestattet sind, hat das Versorgungsunternehmen dem Kunden Abrechnungsinformationen einschließlich Verbrauchsinformationen auf der Grundlage des tatsächlichen Verbrauchs in folgenden Zeitabständen zur Verfügung zu stellen:</w:t>
      </w:r>
    </w:p>
    <w:p>
      <w:pPr>
        <w:ind w:left="420"/>
      </w:pPr>
      <w:r>
        <w:t xml:space="preserve">1. auf Verlangen des Kunden oder wenn der Kunde für seine Abrechnungen die elektronische Bereitstellung gewählt hat, mindestens vierteljährlich und</w:t>
      </w:r>
    </w:p>
    <w:p>
      <w:pPr>
        <w:ind w:left="420"/>
      </w:pPr>
      <w:r>
        <w:t xml:space="preserve">2. ansonsten mindestens zweimal im Jahr.</w:t>
      </w:r>
    </w:p>
    <w:p>
      <w:r>
        <w:t xml:space="preserve">Ab dem 1. Januar 2022 sind die Abrechnungsinformationen einschließlich Verbrauchsinformationen nach Satz 1 monatlich zur Verfügung zu stellen.</w:t>
      </w:r>
    </w:p>
    <w:p>
      <w:r>
        <w:t xml:space="preserve">(5) Das Versorgungsunternehmen hat bei der Verarbeitung der Abrechnungsinformationen einschließlich Verbrauchsinformationen die Einhaltung datenschutz- und datensicherheitsrechtlicher Anforderungen zu gewährleisten.</w:t>
      </w:r>
    </w:p>
    <w:p>
      <w:r>
        <w:rPr>
          <w:color w:val="555555"/>
          <w:sz w:val="17"/>
        </w:rPr>
        <w:t xml:space="preserve">Zitiervorschlag: § 4 FFVAV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https://recht.nulegal.eu/gesetze/FFVAV/4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