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FFVAV — Begriffsbestimmungen</w:t>
      </w:r>
    </w:p>
    <w:p>
      <w:r>
        <w:rPr>
          <w:color w:val="555555"/>
          <w:sz w:val="18"/>
        </w:rPr>
        <w:t xml:space="preserve">Fernwärme- oder Fernkälte-Verbrauchserfassungs- und -Abrechnungsverordnung</w:t>
      </w:r>
    </w:p>
    <w:p>
      <w:r>
        <w:rPr>
          <w:color w:val="555555"/>
          <w:sz w:val="18"/>
        </w:rPr>
        <w:t xml:space="preserve">Stand: 05.10.2021 (konsolidierte Textfassung, kein amtliches Inkrafttretensdatum)</w:t>
      </w:r>
    </w:p>
    <w:p>
      <w:r>
        <w:t xml:space="preserve">(1) Fernablesbar ist eine Messeinrichtung, wenn sie ohne Zugang zu den einzelnen Nutzeinheiten abgelesen werden kann.</w:t>
      </w:r>
    </w:p>
    <w:p>
      <w:r>
        <w:t xml:space="preserve">(2) Fernkälte ist die gewerbliche Lieferung von Kälte aus einer nicht im Eigentum des Gebäudeeigentümers stehenden Kälteerzeugungsanlage.</w:t>
      </w:r>
    </w:p>
    <w:p>
      <w:r>
        <w:t xml:space="preserve">(3) Fernwärme ist die gewerbliche Lieferung von Wärme aus einer nicht im Eigentum des Gebäudeeigentümers stehenden Wärmeerzeugungsanlage.</w:t>
      </w:r>
    </w:p>
    <w:p>
      <w:r>
        <w:t xml:space="preserve">(4) Versorgungsunternehmen ist ein Unternehmen, das Kunden mit Fernwärme oder Fernkälte versorgt.</w:t>
      </w:r>
    </w:p>
    <w:p>
      <w:r>
        <w:rPr>
          <w:color w:val="555555"/>
          <w:sz w:val="17"/>
        </w:rPr>
        <w:t xml:space="preserve">Zitiervorschlag: § 2 FFVAV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https://recht.nulegal.eu/gesetze/FFVAV/2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